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B108B6"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3E7F13F4" w:rsidR="00993D40" w:rsidRPr="00FC77AC" w:rsidRDefault="00993D40" w:rsidP="009B0F25">
      <w:pPr>
        <w:pStyle w:val="ProductList-Body"/>
        <w:shd w:val="clear" w:color="auto" w:fill="00188F"/>
        <w:tabs>
          <w:tab w:val="clear" w:pos="158"/>
        </w:tabs>
        <w:ind w:left="198" w:right="8640" w:hanging="198"/>
      </w:pPr>
      <w:r>
        <w:rPr>
          <w:rFonts w:asciiTheme="majorHAnsi" w:hAnsiTheme="majorHAnsi"/>
          <w:color w:val="FFFFFF" w:themeColor="background1"/>
          <w:sz w:val="32"/>
          <w:szCs w:val="32"/>
        </w:rPr>
        <w:tab/>
        <w:t xml:space="preserve">Licenciamento por </w:t>
      </w:r>
      <w:bookmarkEnd w:id="0"/>
      <w:r>
        <w:rPr>
          <w:rFonts w:asciiTheme="majorHAnsi" w:hAnsiTheme="majorHAnsi"/>
          <w:color w:val="FFFFFF" w:themeColor="background1"/>
          <w:sz w:val="32"/>
          <w:szCs w:val="32"/>
        </w:rPr>
        <w:t>Volume</w:t>
      </w:r>
    </w:p>
    <w:p w14:paraId="7082D943" w14:textId="2C2D49C3" w:rsidR="00993D40" w:rsidRDefault="00993D40" w:rsidP="00993D40">
      <w:pPr>
        <w:pStyle w:val="ProductList-Body"/>
        <w:shd w:val="clear" w:color="auto" w:fill="00188F"/>
        <w:ind w:right="8640"/>
      </w:pPr>
    </w:p>
    <w:p w14:paraId="60739AAD" w14:textId="4E01BAB6" w:rsidR="00B108B6" w:rsidRDefault="00B108B6" w:rsidP="00993D40">
      <w:pPr>
        <w:pStyle w:val="ProductList-Body"/>
        <w:shd w:val="clear" w:color="auto" w:fill="00188F"/>
        <w:ind w:right="8640"/>
      </w:pPr>
    </w:p>
    <w:p w14:paraId="3364A61E" w14:textId="22019D5A" w:rsidR="00B108B6" w:rsidRDefault="00B108B6" w:rsidP="00993D40">
      <w:pPr>
        <w:pStyle w:val="ProductList-Body"/>
        <w:shd w:val="clear" w:color="auto" w:fill="00188F"/>
        <w:ind w:right="8640"/>
      </w:pPr>
    </w:p>
    <w:p w14:paraId="32FE3E6B" w14:textId="77777777" w:rsidR="00B108B6" w:rsidRDefault="00B108B6" w:rsidP="00993D40">
      <w:pPr>
        <w:pStyle w:val="ProductList-Body"/>
        <w:shd w:val="clear" w:color="auto" w:fill="00188F"/>
        <w:ind w:right="8640"/>
      </w:pPr>
    </w:p>
    <w:p w14:paraId="069BCC84" w14:textId="77777777" w:rsidR="00B108B6" w:rsidRPr="00FC77AC" w:rsidRDefault="00B108B6" w:rsidP="00993D40">
      <w:pPr>
        <w:pStyle w:val="ProductList-Body"/>
        <w:shd w:val="clear" w:color="auto" w:fill="00188F"/>
        <w:ind w:right="8640"/>
      </w:pPr>
    </w:p>
    <w:p w14:paraId="3E9A1DDF" w14:textId="77777777" w:rsidR="000845FB" w:rsidRPr="00B64EAD" w:rsidRDefault="000845FB" w:rsidP="000845FB">
      <w:pPr>
        <w:pStyle w:val="ProductList-Body"/>
        <w:shd w:val="clear" w:color="auto" w:fill="0072C6"/>
        <w:ind w:right="1800"/>
        <w:rPr>
          <w:rFonts w:asciiTheme="majorHAnsi" w:hAnsiTheme="majorHAnsi"/>
          <w:color w:val="FFFFFF" w:themeColor="background1"/>
          <w:sz w:val="72"/>
          <w:szCs w:val="72"/>
        </w:rPr>
      </w:pPr>
      <w:bookmarkStart w:id="1" w:name="_Hlk112692193"/>
    </w:p>
    <w:p w14:paraId="3978CEE7" w14:textId="77777777" w:rsidR="000845FB" w:rsidRPr="00B64EAD" w:rsidRDefault="000845FB" w:rsidP="000845FB">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Adendo de Proteção de Dados dos Serviços e Produtos Microsoft Professional</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Última atualização feita em </w:t>
      </w:r>
      <w:r>
        <w:rPr>
          <w:rFonts w:ascii="Calibri Light" w:eastAsia="Calibri" w:hAnsi="Calibri Light" w:cs="Arial"/>
          <w:color w:val="FFFFFF"/>
          <w:sz w:val="48"/>
          <w:szCs w:val="48"/>
        </w:rPr>
        <w:t>15 de setembro</w:t>
      </w:r>
      <w:r>
        <w:rPr>
          <w:rFonts w:asciiTheme="majorHAnsi" w:hAnsiTheme="majorHAnsi"/>
          <w:color w:val="FFFFFF" w:themeColor="background1"/>
          <w:sz w:val="48"/>
          <w:szCs w:val="48"/>
        </w:rPr>
        <w:t xml:space="preserve"> de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1BD2DAD8" w14:textId="77777777" w:rsidR="000845FB" w:rsidRPr="00F80A49" w:rsidRDefault="000845FB" w:rsidP="000845FB">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2" w:name="_Hlk112692300"/>
    </w:p>
    <w:bookmarkEnd w:id="2"/>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Sumário</w:t>
      </w:r>
    </w:p>
    <w:bookmarkEnd w:id="3"/>
    <w:p w14:paraId="2765DE02" w14:textId="07320094" w:rsidR="00217A67" w:rsidRDefault="00A430D3">
      <w:pPr>
        <w:pStyle w:val="TOC1"/>
        <w:rPr>
          <w:rFonts w:eastAsiaTheme="minorEastAsia"/>
          <w:b w:val="0"/>
          <w:caps w:val="0"/>
          <w:noProof/>
          <w:sz w:val="22"/>
          <w:lang w:val="en-US" w:eastAsia="ko-KR"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504315" w:history="1">
        <w:r w:rsidR="00217A67" w:rsidRPr="00D05EB5">
          <w:rPr>
            <w:rStyle w:val="Hyperlink"/>
            <w:noProof/>
          </w:rPr>
          <w:t>Introdução</w:t>
        </w:r>
        <w:r w:rsidR="00217A67">
          <w:rPr>
            <w:noProof/>
            <w:webHidden/>
          </w:rPr>
          <w:tab/>
        </w:r>
        <w:r w:rsidR="00217A67">
          <w:rPr>
            <w:noProof/>
            <w:webHidden/>
          </w:rPr>
          <w:fldChar w:fldCharType="begin"/>
        </w:r>
        <w:r w:rsidR="00217A67">
          <w:rPr>
            <w:noProof/>
            <w:webHidden/>
          </w:rPr>
          <w:instrText xml:space="preserve"> PAGEREF _Toc112504315 \h </w:instrText>
        </w:r>
        <w:r w:rsidR="00217A67">
          <w:rPr>
            <w:noProof/>
            <w:webHidden/>
          </w:rPr>
        </w:r>
        <w:r w:rsidR="00217A67">
          <w:rPr>
            <w:noProof/>
            <w:webHidden/>
          </w:rPr>
          <w:fldChar w:fldCharType="separate"/>
        </w:r>
        <w:r w:rsidR="005F1F3A">
          <w:rPr>
            <w:noProof/>
            <w:webHidden/>
          </w:rPr>
          <w:t>3</w:t>
        </w:r>
        <w:r w:rsidR="00217A67">
          <w:rPr>
            <w:noProof/>
            <w:webHidden/>
          </w:rPr>
          <w:fldChar w:fldCharType="end"/>
        </w:r>
      </w:hyperlink>
    </w:p>
    <w:p w14:paraId="0A02C72D" w14:textId="2E1568F1" w:rsidR="00217A67" w:rsidRDefault="00AB741D">
      <w:pPr>
        <w:pStyle w:val="TOC5"/>
        <w:tabs>
          <w:tab w:val="right" w:leader="dot" w:pos="5030"/>
        </w:tabs>
        <w:rPr>
          <w:rFonts w:eastAsiaTheme="minorEastAsia"/>
          <w:noProof/>
          <w:sz w:val="22"/>
          <w:lang w:val="en-US" w:eastAsia="ko-KR" w:bidi="ar-SA"/>
        </w:rPr>
      </w:pPr>
      <w:hyperlink w:anchor="_Toc112504316" w:history="1">
        <w:r w:rsidR="00217A67" w:rsidRPr="00D05EB5">
          <w:rPr>
            <w:rStyle w:val="Hyperlink"/>
            <w:noProof/>
          </w:rPr>
          <w:t>Atualizações e Termos do DPA Aplicáveis</w:t>
        </w:r>
        <w:r w:rsidR="00217A67">
          <w:rPr>
            <w:noProof/>
            <w:webHidden/>
          </w:rPr>
          <w:tab/>
        </w:r>
        <w:r w:rsidR="00217A67">
          <w:rPr>
            <w:noProof/>
            <w:webHidden/>
          </w:rPr>
          <w:fldChar w:fldCharType="begin"/>
        </w:r>
        <w:r w:rsidR="00217A67">
          <w:rPr>
            <w:noProof/>
            <w:webHidden/>
          </w:rPr>
          <w:instrText xml:space="preserve"> PAGEREF _Toc112504316 \h </w:instrText>
        </w:r>
        <w:r w:rsidR="00217A67">
          <w:rPr>
            <w:noProof/>
            <w:webHidden/>
          </w:rPr>
        </w:r>
        <w:r w:rsidR="00217A67">
          <w:rPr>
            <w:noProof/>
            <w:webHidden/>
          </w:rPr>
          <w:fldChar w:fldCharType="separate"/>
        </w:r>
        <w:r w:rsidR="005F1F3A">
          <w:rPr>
            <w:noProof/>
            <w:webHidden/>
          </w:rPr>
          <w:t>3</w:t>
        </w:r>
        <w:r w:rsidR="00217A67">
          <w:rPr>
            <w:noProof/>
            <w:webHidden/>
          </w:rPr>
          <w:fldChar w:fldCharType="end"/>
        </w:r>
      </w:hyperlink>
    </w:p>
    <w:p w14:paraId="279FB1A9" w14:textId="5080268A" w:rsidR="00217A67" w:rsidRDefault="00AB741D">
      <w:pPr>
        <w:pStyle w:val="TOC5"/>
        <w:tabs>
          <w:tab w:val="right" w:leader="dot" w:pos="5030"/>
        </w:tabs>
        <w:rPr>
          <w:rFonts w:eastAsiaTheme="minorEastAsia"/>
          <w:noProof/>
          <w:sz w:val="22"/>
          <w:lang w:val="en-US" w:eastAsia="ko-KR" w:bidi="ar-SA"/>
        </w:rPr>
      </w:pPr>
      <w:hyperlink w:anchor="_Toc112504317" w:history="1">
        <w:r w:rsidR="00217A67" w:rsidRPr="00D05EB5">
          <w:rPr>
            <w:rStyle w:val="Hyperlink"/>
            <w:noProof/>
          </w:rPr>
          <w:t>Notificações Eletrônicas</w:t>
        </w:r>
        <w:r w:rsidR="00217A67">
          <w:rPr>
            <w:noProof/>
            <w:webHidden/>
          </w:rPr>
          <w:tab/>
        </w:r>
        <w:r w:rsidR="00217A67">
          <w:rPr>
            <w:noProof/>
            <w:webHidden/>
          </w:rPr>
          <w:fldChar w:fldCharType="begin"/>
        </w:r>
        <w:r w:rsidR="00217A67">
          <w:rPr>
            <w:noProof/>
            <w:webHidden/>
          </w:rPr>
          <w:instrText xml:space="preserve"> PAGEREF _Toc112504317 \h </w:instrText>
        </w:r>
        <w:r w:rsidR="00217A67">
          <w:rPr>
            <w:noProof/>
            <w:webHidden/>
          </w:rPr>
        </w:r>
        <w:r w:rsidR="00217A67">
          <w:rPr>
            <w:noProof/>
            <w:webHidden/>
          </w:rPr>
          <w:fldChar w:fldCharType="separate"/>
        </w:r>
        <w:r w:rsidR="005F1F3A">
          <w:rPr>
            <w:noProof/>
            <w:webHidden/>
          </w:rPr>
          <w:t>3</w:t>
        </w:r>
        <w:r w:rsidR="00217A67">
          <w:rPr>
            <w:noProof/>
            <w:webHidden/>
          </w:rPr>
          <w:fldChar w:fldCharType="end"/>
        </w:r>
      </w:hyperlink>
    </w:p>
    <w:p w14:paraId="346F6F98" w14:textId="1DBC649C" w:rsidR="00217A67" w:rsidRDefault="00AB741D">
      <w:pPr>
        <w:pStyle w:val="TOC5"/>
        <w:tabs>
          <w:tab w:val="right" w:leader="dot" w:pos="5030"/>
        </w:tabs>
        <w:rPr>
          <w:rFonts w:eastAsiaTheme="minorEastAsia"/>
          <w:noProof/>
          <w:sz w:val="22"/>
          <w:lang w:val="en-US" w:eastAsia="ko-KR" w:bidi="ar-SA"/>
        </w:rPr>
      </w:pPr>
      <w:hyperlink w:anchor="_Toc112504318" w:history="1">
        <w:r w:rsidR="00217A67" w:rsidRPr="00D05EB5">
          <w:rPr>
            <w:rStyle w:val="Hyperlink"/>
            <w:noProof/>
          </w:rPr>
          <w:t>Versões Anteriores</w:t>
        </w:r>
        <w:r w:rsidR="00217A67">
          <w:rPr>
            <w:noProof/>
            <w:webHidden/>
          </w:rPr>
          <w:tab/>
        </w:r>
        <w:r w:rsidR="00217A67">
          <w:rPr>
            <w:noProof/>
            <w:webHidden/>
          </w:rPr>
          <w:fldChar w:fldCharType="begin"/>
        </w:r>
        <w:r w:rsidR="00217A67">
          <w:rPr>
            <w:noProof/>
            <w:webHidden/>
          </w:rPr>
          <w:instrText xml:space="preserve"> PAGEREF _Toc112504318 \h </w:instrText>
        </w:r>
        <w:r w:rsidR="00217A67">
          <w:rPr>
            <w:noProof/>
            <w:webHidden/>
          </w:rPr>
        </w:r>
        <w:r w:rsidR="00217A67">
          <w:rPr>
            <w:noProof/>
            <w:webHidden/>
          </w:rPr>
          <w:fldChar w:fldCharType="separate"/>
        </w:r>
        <w:r w:rsidR="005F1F3A">
          <w:rPr>
            <w:noProof/>
            <w:webHidden/>
          </w:rPr>
          <w:t>3</w:t>
        </w:r>
        <w:r w:rsidR="00217A67">
          <w:rPr>
            <w:noProof/>
            <w:webHidden/>
          </w:rPr>
          <w:fldChar w:fldCharType="end"/>
        </w:r>
      </w:hyperlink>
    </w:p>
    <w:p w14:paraId="3218F3D6" w14:textId="608D6151" w:rsidR="00217A67" w:rsidRDefault="00AB741D">
      <w:pPr>
        <w:pStyle w:val="TOC1"/>
        <w:rPr>
          <w:rFonts w:eastAsiaTheme="minorEastAsia"/>
          <w:b w:val="0"/>
          <w:caps w:val="0"/>
          <w:noProof/>
          <w:sz w:val="22"/>
          <w:lang w:val="en-US" w:eastAsia="ko-KR" w:bidi="ar-SA"/>
        </w:rPr>
      </w:pPr>
      <w:hyperlink w:anchor="_Toc112504319" w:history="1">
        <w:r w:rsidR="00217A67" w:rsidRPr="00D05EB5">
          <w:rPr>
            <w:rStyle w:val="Hyperlink"/>
            <w:noProof/>
          </w:rPr>
          <w:t>Definições</w:t>
        </w:r>
        <w:r w:rsidR="00217A67">
          <w:rPr>
            <w:noProof/>
            <w:webHidden/>
          </w:rPr>
          <w:tab/>
        </w:r>
        <w:r w:rsidR="00217A67">
          <w:rPr>
            <w:noProof/>
            <w:webHidden/>
          </w:rPr>
          <w:fldChar w:fldCharType="begin"/>
        </w:r>
        <w:r w:rsidR="00217A67">
          <w:rPr>
            <w:noProof/>
            <w:webHidden/>
          </w:rPr>
          <w:instrText xml:space="preserve"> PAGEREF _Toc112504319 \h </w:instrText>
        </w:r>
        <w:r w:rsidR="00217A67">
          <w:rPr>
            <w:noProof/>
            <w:webHidden/>
          </w:rPr>
        </w:r>
        <w:r w:rsidR="00217A67">
          <w:rPr>
            <w:noProof/>
            <w:webHidden/>
          </w:rPr>
          <w:fldChar w:fldCharType="separate"/>
        </w:r>
        <w:r w:rsidR="005F1F3A">
          <w:rPr>
            <w:noProof/>
            <w:webHidden/>
          </w:rPr>
          <w:t>4</w:t>
        </w:r>
        <w:r w:rsidR="00217A67">
          <w:rPr>
            <w:noProof/>
            <w:webHidden/>
          </w:rPr>
          <w:fldChar w:fldCharType="end"/>
        </w:r>
      </w:hyperlink>
    </w:p>
    <w:p w14:paraId="024F1583" w14:textId="37291672" w:rsidR="00217A67" w:rsidRDefault="00AB741D">
      <w:pPr>
        <w:pStyle w:val="TOC1"/>
        <w:rPr>
          <w:rFonts w:eastAsiaTheme="minorEastAsia"/>
          <w:b w:val="0"/>
          <w:caps w:val="0"/>
          <w:noProof/>
          <w:sz w:val="22"/>
          <w:lang w:val="en-US" w:eastAsia="ko-KR" w:bidi="ar-SA"/>
        </w:rPr>
      </w:pPr>
      <w:hyperlink w:anchor="_Toc112504320" w:history="1">
        <w:r w:rsidR="00217A67" w:rsidRPr="00D05EB5">
          <w:rPr>
            <w:rStyle w:val="Hyperlink"/>
            <w:noProof/>
          </w:rPr>
          <w:t>Termos Gerais</w:t>
        </w:r>
        <w:r w:rsidR="00217A67">
          <w:rPr>
            <w:noProof/>
            <w:webHidden/>
          </w:rPr>
          <w:tab/>
        </w:r>
        <w:r w:rsidR="00217A67">
          <w:rPr>
            <w:noProof/>
            <w:webHidden/>
          </w:rPr>
          <w:fldChar w:fldCharType="begin"/>
        </w:r>
        <w:r w:rsidR="00217A67">
          <w:rPr>
            <w:noProof/>
            <w:webHidden/>
          </w:rPr>
          <w:instrText xml:space="preserve"> PAGEREF _Toc112504320 \h </w:instrText>
        </w:r>
        <w:r w:rsidR="00217A67">
          <w:rPr>
            <w:noProof/>
            <w:webHidden/>
          </w:rPr>
        </w:r>
        <w:r w:rsidR="00217A67">
          <w:rPr>
            <w:noProof/>
            <w:webHidden/>
          </w:rPr>
          <w:fldChar w:fldCharType="separate"/>
        </w:r>
        <w:r w:rsidR="005F1F3A">
          <w:rPr>
            <w:noProof/>
            <w:webHidden/>
          </w:rPr>
          <w:t>5</w:t>
        </w:r>
        <w:r w:rsidR="00217A67">
          <w:rPr>
            <w:noProof/>
            <w:webHidden/>
          </w:rPr>
          <w:fldChar w:fldCharType="end"/>
        </w:r>
      </w:hyperlink>
    </w:p>
    <w:p w14:paraId="2EF901FB" w14:textId="73417BAE" w:rsidR="00217A67" w:rsidRDefault="00AB741D">
      <w:pPr>
        <w:pStyle w:val="TOC5"/>
        <w:tabs>
          <w:tab w:val="right" w:leader="dot" w:pos="5030"/>
        </w:tabs>
        <w:rPr>
          <w:rFonts w:eastAsiaTheme="minorEastAsia"/>
          <w:noProof/>
          <w:sz w:val="22"/>
          <w:lang w:val="en-US" w:eastAsia="ko-KR" w:bidi="ar-SA"/>
        </w:rPr>
      </w:pPr>
      <w:hyperlink w:anchor="_Toc112504321" w:history="1">
        <w:r w:rsidR="00217A67" w:rsidRPr="00D05EB5">
          <w:rPr>
            <w:rStyle w:val="Hyperlink"/>
            <w:noProof/>
          </w:rPr>
          <w:t>Cumprimento das Leis</w:t>
        </w:r>
        <w:r w:rsidR="00217A67">
          <w:rPr>
            <w:noProof/>
            <w:webHidden/>
          </w:rPr>
          <w:tab/>
        </w:r>
        <w:r w:rsidR="00217A67">
          <w:rPr>
            <w:noProof/>
            <w:webHidden/>
          </w:rPr>
          <w:fldChar w:fldCharType="begin"/>
        </w:r>
        <w:r w:rsidR="00217A67">
          <w:rPr>
            <w:noProof/>
            <w:webHidden/>
          </w:rPr>
          <w:instrText xml:space="preserve"> PAGEREF _Toc112504321 \h </w:instrText>
        </w:r>
        <w:r w:rsidR="00217A67">
          <w:rPr>
            <w:noProof/>
            <w:webHidden/>
          </w:rPr>
        </w:r>
        <w:r w:rsidR="00217A67">
          <w:rPr>
            <w:noProof/>
            <w:webHidden/>
          </w:rPr>
          <w:fldChar w:fldCharType="separate"/>
        </w:r>
        <w:r w:rsidR="005F1F3A">
          <w:rPr>
            <w:noProof/>
            <w:webHidden/>
          </w:rPr>
          <w:t>5</w:t>
        </w:r>
        <w:r w:rsidR="00217A67">
          <w:rPr>
            <w:noProof/>
            <w:webHidden/>
          </w:rPr>
          <w:fldChar w:fldCharType="end"/>
        </w:r>
      </w:hyperlink>
    </w:p>
    <w:p w14:paraId="21CDC74A" w14:textId="60EEA787" w:rsidR="00217A67" w:rsidRDefault="00AB741D">
      <w:pPr>
        <w:pStyle w:val="TOC1"/>
        <w:rPr>
          <w:rFonts w:eastAsiaTheme="minorEastAsia"/>
          <w:b w:val="0"/>
          <w:caps w:val="0"/>
          <w:noProof/>
          <w:sz w:val="22"/>
          <w:lang w:val="en-US" w:eastAsia="ko-KR" w:bidi="ar-SA"/>
        </w:rPr>
      </w:pPr>
      <w:hyperlink w:anchor="_Toc112504322" w:history="1">
        <w:r w:rsidR="00217A67" w:rsidRPr="00D05EB5">
          <w:rPr>
            <w:rStyle w:val="Hyperlink"/>
            <w:noProof/>
          </w:rPr>
          <w:t>Termos de Proteção de Dados</w:t>
        </w:r>
        <w:r w:rsidR="00217A67">
          <w:rPr>
            <w:noProof/>
            <w:webHidden/>
          </w:rPr>
          <w:tab/>
        </w:r>
        <w:r w:rsidR="00217A67">
          <w:rPr>
            <w:noProof/>
            <w:webHidden/>
          </w:rPr>
          <w:fldChar w:fldCharType="begin"/>
        </w:r>
        <w:r w:rsidR="00217A67">
          <w:rPr>
            <w:noProof/>
            <w:webHidden/>
          </w:rPr>
          <w:instrText xml:space="preserve"> PAGEREF _Toc112504322 \h </w:instrText>
        </w:r>
        <w:r w:rsidR="00217A67">
          <w:rPr>
            <w:noProof/>
            <w:webHidden/>
          </w:rPr>
        </w:r>
        <w:r w:rsidR="00217A67">
          <w:rPr>
            <w:noProof/>
            <w:webHidden/>
          </w:rPr>
          <w:fldChar w:fldCharType="separate"/>
        </w:r>
        <w:r w:rsidR="005F1F3A">
          <w:rPr>
            <w:noProof/>
            <w:webHidden/>
          </w:rPr>
          <w:t>5</w:t>
        </w:r>
        <w:r w:rsidR="00217A67">
          <w:rPr>
            <w:noProof/>
            <w:webHidden/>
          </w:rPr>
          <w:fldChar w:fldCharType="end"/>
        </w:r>
      </w:hyperlink>
    </w:p>
    <w:p w14:paraId="6E6328D6" w14:textId="48328C1B" w:rsidR="00217A67" w:rsidRDefault="00AB741D">
      <w:pPr>
        <w:pStyle w:val="TOC5"/>
        <w:tabs>
          <w:tab w:val="right" w:leader="dot" w:pos="5030"/>
        </w:tabs>
        <w:rPr>
          <w:rFonts w:eastAsiaTheme="minorEastAsia"/>
          <w:noProof/>
          <w:sz w:val="22"/>
          <w:lang w:val="en-US" w:eastAsia="ko-KR" w:bidi="ar-SA"/>
        </w:rPr>
      </w:pPr>
      <w:hyperlink w:anchor="_Toc112504323" w:history="1">
        <w:r w:rsidR="00217A67" w:rsidRPr="00D05EB5">
          <w:rPr>
            <w:rStyle w:val="Hyperlink"/>
            <w:noProof/>
          </w:rPr>
          <w:t>Escopo</w:t>
        </w:r>
        <w:r w:rsidR="00217A67">
          <w:rPr>
            <w:noProof/>
            <w:webHidden/>
          </w:rPr>
          <w:tab/>
        </w:r>
        <w:r w:rsidR="00217A67">
          <w:rPr>
            <w:noProof/>
            <w:webHidden/>
          </w:rPr>
          <w:fldChar w:fldCharType="begin"/>
        </w:r>
        <w:r w:rsidR="00217A67">
          <w:rPr>
            <w:noProof/>
            <w:webHidden/>
          </w:rPr>
          <w:instrText xml:space="preserve"> PAGEREF _Toc112504323 \h </w:instrText>
        </w:r>
        <w:r w:rsidR="00217A67">
          <w:rPr>
            <w:noProof/>
            <w:webHidden/>
          </w:rPr>
        </w:r>
        <w:r w:rsidR="00217A67">
          <w:rPr>
            <w:noProof/>
            <w:webHidden/>
          </w:rPr>
          <w:fldChar w:fldCharType="separate"/>
        </w:r>
        <w:r w:rsidR="005F1F3A">
          <w:rPr>
            <w:noProof/>
            <w:webHidden/>
          </w:rPr>
          <w:t>5</w:t>
        </w:r>
        <w:r w:rsidR="00217A67">
          <w:rPr>
            <w:noProof/>
            <w:webHidden/>
          </w:rPr>
          <w:fldChar w:fldCharType="end"/>
        </w:r>
      </w:hyperlink>
    </w:p>
    <w:p w14:paraId="6D229A77" w14:textId="669237A4" w:rsidR="00217A67" w:rsidRDefault="00AB741D">
      <w:pPr>
        <w:pStyle w:val="TOC5"/>
        <w:tabs>
          <w:tab w:val="right" w:leader="dot" w:pos="5030"/>
        </w:tabs>
        <w:rPr>
          <w:rFonts w:eastAsiaTheme="minorEastAsia"/>
          <w:noProof/>
          <w:sz w:val="22"/>
          <w:lang w:val="en-US" w:eastAsia="ko-KR" w:bidi="ar-SA"/>
        </w:rPr>
      </w:pPr>
      <w:hyperlink w:anchor="_Toc112504324" w:history="1">
        <w:r w:rsidR="00217A67" w:rsidRPr="00D05EB5">
          <w:rPr>
            <w:rStyle w:val="Hyperlink"/>
            <w:noProof/>
          </w:rPr>
          <w:t>Natureza do Processamento de Dados; Propriedade</w:t>
        </w:r>
        <w:r w:rsidR="00217A67">
          <w:rPr>
            <w:noProof/>
            <w:webHidden/>
          </w:rPr>
          <w:tab/>
        </w:r>
        <w:r w:rsidR="00217A67">
          <w:rPr>
            <w:noProof/>
            <w:webHidden/>
          </w:rPr>
          <w:fldChar w:fldCharType="begin"/>
        </w:r>
        <w:r w:rsidR="00217A67">
          <w:rPr>
            <w:noProof/>
            <w:webHidden/>
          </w:rPr>
          <w:instrText xml:space="preserve"> PAGEREF _Toc112504324 \h </w:instrText>
        </w:r>
        <w:r w:rsidR="00217A67">
          <w:rPr>
            <w:noProof/>
            <w:webHidden/>
          </w:rPr>
        </w:r>
        <w:r w:rsidR="00217A67">
          <w:rPr>
            <w:noProof/>
            <w:webHidden/>
          </w:rPr>
          <w:fldChar w:fldCharType="separate"/>
        </w:r>
        <w:r w:rsidR="005F1F3A">
          <w:rPr>
            <w:noProof/>
            <w:webHidden/>
          </w:rPr>
          <w:t>5</w:t>
        </w:r>
        <w:r w:rsidR="00217A67">
          <w:rPr>
            <w:noProof/>
            <w:webHidden/>
          </w:rPr>
          <w:fldChar w:fldCharType="end"/>
        </w:r>
      </w:hyperlink>
    </w:p>
    <w:p w14:paraId="638CC9D4" w14:textId="0B5CB643" w:rsidR="00217A67" w:rsidRDefault="00AB741D">
      <w:pPr>
        <w:pStyle w:val="TOC5"/>
        <w:tabs>
          <w:tab w:val="right" w:leader="dot" w:pos="5030"/>
        </w:tabs>
        <w:rPr>
          <w:rFonts w:eastAsiaTheme="minorEastAsia"/>
          <w:noProof/>
          <w:sz w:val="22"/>
          <w:lang w:val="en-US" w:eastAsia="ko-KR" w:bidi="ar-SA"/>
        </w:rPr>
      </w:pPr>
      <w:hyperlink w:anchor="_Toc112504325" w:history="1">
        <w:r w:rsidR="00217A67" w:rsidRPr="00D05EB5">
          <w:rPr>
            <w:rStyle w:val="Hyperlink"/>
            <w:noProof/>
          </w:rPr>
          <w:t>Divulgação de Dados Processados.</w:t>
        </w:r>
        <w:r w:rsidR="00217A67">
          <w:rPr>
            <w:noProof/>
            <w:webHidden/>
          </w:rPr>
          <w:tab/>
        </w:r>
        <w:r w:rsidR="00217A67">
          <w:rPr>
            <w:noProof/>
            <w:webHidden/>
          </w:rPr>
          <w:fldChar w:fldCharType="begin"/>
        </w:r>
        <w:r w:rsidR="00217A67">
          <w:rPr>
            <w:noProof/>
            <w:webHidden/>
          </w:rPr>
          <w:instrText xml:space="preserve"> PAGEREF _Toc112504325 \h </w:instrText>
        </w:r>
        <w:r w:rsidR="00217A67">
          <w:rPr>
            <w:noProof/>
            <w:webHidden/>
          </w:rPr>
        </w:r>
        <w:r w:rsidR="00217A67">
          <w:rPr>
            <w:noProof/>
            <w:webHidden/>
          </w:rPr>
          <w:fldChar w:fldCharType="separate"/>
        </w:r>
        <w:r w:rsidR="005F1F3A">
          <w:rPr>
            <w:noProof/>
            <w:webHidden/>
          </w:rPr>
          <w:t>6</w:t>
        </w:r>
        <w:r w:rsidR="00217A67">
          <w:rPr>
            <w:noProof/>
            <w:webHidden/>
          </w:rPr>
          <w:fldChar w:fldCharType="end"/>
        </w:r>
      </w:hyperlink>
    </w:p>
    <w:p w14:paraId="2B27BAEF" w14:textId="7966A0F3" w:rsidR="00217A67" w:rsidRDefault="00AB741D">
      <w:pPr>
        <w:pStyle w:val="TOC5"/>
        <w:tabs>
          <w:tab w:val="right" w:leader="dot" w:pos="5030"/>
        </w:tabs>
        <w:rPr>
          <w:rFonts w:eastAsiaTheme="minorEastAsia"/>
          <w:noProof/>
          <w:sz w:val="22"/>
          <w:lang w:val="en-US" w:eastAsia="ko-KR" w:bidi="ar-SA"/>
        </w:rPr>
      </w:pPr>
      <w:hyperlink w:anchor="_Toc112504326" w:history="1">
        <w:r w:rsidR="00217A67" w:rsidRPr="00D05EB5">
          <w:rPr>
            <w:rStyle w:val="Hyperlink"/>
            <w:noProof/>
          </w:rPr>
          <w:t>Processamento de Dados Pessoais; GDPR</w:t>
        </w:r>
        <w:r w:rsidR="00217A67">
          <w:rPr>
            <w:noProof/>
            <w:webHidden/>
          </w:rPr>
          <w:tab/>
        </w:r>
        <w:r w:rsidR="00217A67">
          <w:rPr>
            <w:noProof/>
            <w:webHidden/>
          </w:rPr>
          <w:fldChar w:fldCharType="begin"/>
        </w:r>
        <w:r w:rsidR="00217A67">
          <w:rPr>
            <w:noProof/>
            <w:webHidden/>
          </w:rPr>
          <w:instrText xml:space="preserve"> PAGEREF _Toc112504326 \h </w:instrText>
        </w:r>
        <w:r w:rsidR="00217A67">
          <w:rPr>
            <w:noProof/>
            <w:webHidden/>
          </w:rPr>
        </w:r>
        <w:r w:rsidR="00217A67">
          <w:rPr>
            <w:noProof/>
            <w:webHidden/>
          </w:rPr>
          <w:fldChar w:fldCharType="separate"/>
        </w:r>
        <w:r w:rsidR="005F1F3A">
          <w:rPr>
            <w:noProof/>
            <w:webHidden/>
          </w:rPr>
          <w:t>7</w:t>
        </w:r>
        <w:r w:rsidR="00217A67">
          <w:rPr>
            <w:noProof/>
            <w:webHidden/>
          </w:rPr>
          <w:fldChar w:fldCharType="end"/>
        </w:r>
      </w:hyperlink>
    </w:p>
    <w:p w14:paraId="2E3B3266" w14:textId="4703E81F" w:rsidR="00217A67" w:rsidRDefault="00AB741D">
      <w:pPr>
        <w:pStyle w:val="TOC5"/>
        <w:tabs>
          <w:tab w:val="right" w:leader="dot" w:pos="5030"/>
        </w:tabs>
        <w:rPr>
          <w:rFonts w:eastAsiaTheme="minorEastAsia"/>
          <w:noProof/>
          <w:sz w:val="22"/>
          <w:lang w:val="en-US" w:eastAsia="ko-KR" w:bidi="ar-SA"/>
        </w:rPr>
      </w:pPr>
      <w:hyperlink w:anchor="_Toc112504327" w:history="1">
        <w:r w:rsidR="00217A67" w:rsidRPr="00D05EB5">
          <w:rPr>
            <w:rStyle w:val="Hyperlink"/>
            <w:noProof/>
          </w:rPr>
          <w:t>Segurança de Dados</w:t>
        </w:r>
        <w:r w:rsidR="00217A67">
          <w:rPr>
            <w:noProof/>
            <w:webHidden/>
          </w:rPr>
          <w:tab/>
        </w:r>
        <w:r w:rsidR="00217A67">
          <w:rPr>
            <w:noProof/>
            <w:webHidden/>
          </w:rPr>
          <w:fldChar w:fldCharType="begin"/>
        </w:r>
        <w:r w:rsidR="00217A67">
          <w:rPr>
            <w:noProof/>
            <w:webHidden/>
          </w:rPr>
          <w:instrText xml:space="preserve"> PAGEREF _Toc112504327 \h </w:instrText>
        </w:r>
        <w:r w:rsidR="00217A67">
          <w:rPr>
            <w:noProof/>
            <w:webHidden/>
          </w:rPr>
        </w:r>
        <w:r w:rsidR="00217A67">
          <w:rPr>
            <w:noProof/>
            <w:webHidden/>
          </w:rPr>
          <w:fldChar w:fldCharType="separate"/>
        </w:r>
        <w:r w:rsidR="005F1F3A">
          <w:rPr>
            <w:noProof/>
            <w:webHidden/>
          </w:rPr>
          <w:t>8</w:t>
        </w:r>
        <w:r w:rsidR="00217A67">
          <w:rPr>
            <w:noProof/>
            <w:webHidden/>
          </w:rPr>
          <w:fldChar w:fldCharType="end"/>
        </w:r>
      </w:hyperlink>
    </w:p>
    <w:p w14:paraId="30094926" w14:textId="450988D8" w:rsidR="00217A67" w:rsidRDefault="00AB741D">
      <w:pPr>
        <w:pStyle w:val="TOC5"/>
        <w:tabs>
          <w:tab w:val="right" w:leader="dot" w:pos="5030"/>
        </w:tabs>
        <w:rPr>
          <w:rFonts w:eastAsiaTheme="minorEastAsia"/>
          <w:noProof/>
          <w:sz w:val="22"/>
          <w:lang w:val="en-US" w:eastAsia="ko-KR" w:bidi="ar-SA"/>
        </w:rPr>
      </w:pPr>
      <w:hyperlink w:anchor="_Toc112504328" w:history="1">
        <w:r w:rsidR="00217A67" w:rsidRPr="00D05EB5">
          <w:rPr>
            <w:rStyle w:val="Hyperlink"/>
            <w:noProof/>
          </w:rPr>
          <w:t>Notificação de Incidentes de Segurança</w:t>
        </w:r>
        <w:r w:rsidR="00217A67">
          <w:rPr>
            <w:noProof/>
            <w:webHidden/>
          </w:rPr>
          <w:tab/>
        </w:r>
        <w:r w:rsidR="00217A67">
          <w:rPr>
            <w:noProof/>
            <w:webHidden/>
          </w:rPr>
          <w:fldChar w:fldCharType="begin"/>
        </w:r>
        <w:r w:rsidR="00217A67">
          <w:rPr>
            <w:noProof/>
            <w:webHidden/>
          </w:rPr>
          <w:instrText xml:space="preserve"> PAGEREF _Toc112504328 \h </w:instrText>
        </w:r>
        <w:r w:rsidR="00217A67">
          <w:rPr>
            <w:noProof/>
            <w:webHidden/>
          </w:rPr>
        </w:r>
        <w:r w:rsidR="00217A67">
          <w:rPr>
            <w:noProof/>
            <w:webHidden/>
          </w:rPr>
          <w:fldChar w:fldCharType="separate"/>
        </w:r>
        <w:r w:rsidR="005F1F3A">
          <w:rPr>
            <w:noProof/>
            <w:webHidden/>
          </w:rPr>
          <w:t>9</w:t>
        </w:r>
        <w:r w:rsidR="00217A67">
          <w:rPr>
            <w:noProof/>
            <w:webHidden/>
          </w:rPr>
          <w:fldChar w:fldCharType="end"/>
        </w:r>
      </w:hyperlink>
    </w:p>
    <w:p w14:paraId="6F480554" w14:textId="644CE44E" w:rsidR="00217A67" w:rsidRDefault="00AB741D">
      <w:pPr>
        <w:pStyle w:val="TOC5"/>
        <w:tabs>
          <w:tab w:val="right" w:leader="dot" w:pos="5030"/>
        </w:tabs>
        <w:rPr>
          <w:rFonts w:eastAsiaTheme="minorEastAsia"/>
          <w:noProof/>
          <w:sz w:val="22"/>
          <w:lang w:val="en-US" w:eastAsia="ko-KR" w:bidi="ar-SA"/>
        </w:rPr>
      </w:pPr>
      <w:hyperlink w:anchor="_Toc112504329" w:history="1">
        <w:r w:rsidR="00217A67" w:rsidRPr="00D05EB5">
          <w:rPr>
            <w:rStyle w:val="Hyperlink"/>
            <w:noProof/>
          </w:rPr>
          <w:t>Localização e Transferências de /Dados</w:t>
        </w:r>
        <w:r w:rsidR="00217A67">
          <w:rPr>
            <w:noProof/>
            <w:webHidden/>
          </w:rPr>
          <w:tab/>
        </w:r>
        <w:r w:rsidR="00217A67">
          <w:rPr>
            <w:noProof/>
            <w:webHidden/>
          </w:rPr>
          <w:fldChar w:fldCharType="begin"/>
        </w:r>
        <w:r w:rsidR="00217A67">
          <w:rPr>
            <w:noProof/>
            <w:webHidden/>
          </w:rPr>
          <w:instrText xml:space="preserve"> PAGEREF _Toc112504329 \h </w:instrText>
        </w:r>
        <w:r w:rsidR="00217A67">
          <w:rPr>
            <w:noProof/>
            <w:webHidden/>
          </w:rPr>
        </w:r>
        <w:r w:rsidR="00217A67">
          <w:rPr>
            <w:noProof/>
            <w:webHidden/>
          </w:rPr>
          <w:fldChar w:fldCharType="separate"/>
        </w:r>
        <w:r w:rsidR="005F1F3A">
          <w:rPr>
            <w:noProof/>
            <w:webHidden/>
          </w:rPr>
          <w:t>10</w:t>
        </w:r>
        <w:r w:rsidR="00217A67">
          <w:rPr>
            <w:noProof/>
            <w:webHidden/>
          </w:rPr>
          <w:fldChar w:fldCharType="end"/>
        </w:r>
      </w:hyperlink>
    </w:p>
    <w:p w14:paraId="39014F24" w14:textId="39466959" w:rsidR="00217A67" w:rsidRDefault="00AB741D">
      <w:pPr>
        <w:pStyle w:val="TOC5"/>
        <w:tabs>
          <w:tab w:val="right" w:leader="dot" w:pos="5030"/>
        </w:tabs>
        <w:rPr>
          <w:rFonts w:eastAsiaTheme="minorEastAsia"/>
          <w:noProof/>
          <w:sz w:val="22"/>
          <w:lang w:val="en-US" w:eastAsia="ko-KR" w:bidi="ar-SA"/>
        </w:rPr>
      </w:pPr>
      <w:hyperlink w:anchor="_Toc112504330" w:history="1">
        <w:r w:rsidR="00217A67" w:rsidRPr="00D05EB5">
          <w:rPr>
            <w:rStyle w:val="Hyperlink"/>
            <w:noProof/>
          </w:rPr>
          <w:t>Retenção e Exclusão de Dados</w:t>
        </w:r>
        <w:r w:rsidR="00217A67">
          <w:rPr>
            <w:noProof/>
            <w:webHidden/>
          </w:rPr>
          <w:tab/>
        </w:r>
        <w:r w:rsidR="00217A67">
          <w:rPr>
            <w:noProof/>
            <w:webHidden/>
          </w:rPr>
          <w:fldChar w:fldCharType="begin"/>
        </w:r>
        <w:r w:rsidR="00217A67">
          <w:rPr>
            <w:noProof/>
            <w:webHidden/>
          </w:rPr>
          <w:instrText xml:space="preserve"> PAGEREF _Toc112504330 \h </w:instrText>
        </w:r>
        <w:r w:rsidR="00217A67">
          <w:rPr>
            <w:noProof/>
            <w:webHidden/>
          </w:rPr>
        </w:r>
        <w:r w:rsidR="00217A67">
          <w:rPr>
            <w:noProof/>
            <w:webHidden/>
          </w:rPr>
          <w:fldChar w:fldCharType="separate"/>
        </w:r>
        <w:r w:rsidR="005F1F3A">
          <w:rPr>
            <w:noProof/>
            <w:webHidden/>
          </w:rPr>
          <w:t>10</w:t>
        </w:r>
        <w:r w:rsidR="00217A67">
          <w:rPr>
            <w:noProof/>
            <w:webHidden/>
          </w:rPr>
          <w:fldChar w:fldCharType="end"/>
        </w:r>
      </w:hyperlink>
    </w:p>
    <w:p w14:paraId="0245FA03" w14:textId="1E6AEE5A" w:rsidR="00217A67" w:rsidRDefault="00AB741D">
      <w:pPr>
        <w:pStyle w:val="TOC5"/>
        <w:tabs>
          <w:tab w:val="right" w:leader="dot" w:pos="5030"/>
        </w:tabs>
        <w:rPr>
          <w:rFonts w:eastAsiaTheme="minorEastAsia"/>
          <w:noProof/>
          <w:sz w:val="22"/>
          <w:lang w:val="en-US" w:eastAsia="ko-KR" w:bidi="ar-SA"/>
        </w:rPr>
      </w:pPr>
      <w:hyperlink w:anchor="_Toc112504331" w:history="1">
        <w:r w:rsidR="00217A67" w:rsidRPr="00D05EB5">
          <w:rPr>
            <w:rStyle w:val="Hyperlink"/>
            <w:noProof/>
          </w:rPr>
          <w:t>Compromisso de Confidencialidade do Processador</w:t>
        </w:r>
        <w:r w:rsidR="00217A67">
          <w:rPr>
            <w:noProof/>
            <w:webHidden/>
          </w:rPr>
          <w:tab/>
        </w:r>
        <w:r w:rsidR="00217A67">
          <w:rPr>
            <w:noProof/>
            <w:webHidden/>
          </w:rPr>
          <w:fldChar w:fldCharType="begin"/>
        </w:r>
        <w:r w:rsidR="00217A67">
          <w:rPr>
            <w:noProof/>
            <w:webHidden/>
          </w:rPr>
          <w:instrText xml:space="preserve"> PAGEREF _Toc112504331 \h </w:instrText>
        </w:r>
        <w:r w:rsidR="00217A67">
          <w:rPr>
            <w:noProof/>
            <w:webHidden/>
          </w:rPr>
        </w:r>
        <w:r w:rsidR="00217A67">
          <w:rPr>
            <w:noProof/>
            <w:webHidden/>
          </w:rPr>
          <w:fldChar w:fldCharType="separate"/>
        </w:r>
        <w:r w:rsidR="005F1F3A">
          <w:rPr>
            <w:noProof/>
            <w:webHidden/>
          </w:rPr>
          <w:t>10</w:t>
        </w:r>
        <w:r w:rsidR="00217A67">
          <w:rPr>
            <w:noProof/>
            <w:webHidden/>
          </w:rPr>
          <w:fldChar w:fldCharType="end"/>
        </w:r>
      </w:hyperlink>
    </w:p>
    <w:p w14:paraId="51950813" w14:textId="400ACD7F" w:rsidR="00217A67" w:rsidRDefault="00AB741D">
      <w:pPr>
        <w:pStyle w:val="TOC5"/>
        <w:tabs>
          <w:tab w:val="right" w:leader="dot" w:pos="5030"/>
        </w:tabs>
        <w:rPr>
          <w:rFonts w:eastAsiaTheme="minorEastAsia"/>
          <w:noProof/>
          <w:sz w:val="22"/>
          <w:lang w:val="en-US" w:eastAsia="ko-KR" w:bidi="ar-SA"/>
        </w:rPr>
      </w:pPr>
      <w:hyperlink w:anchor="_Toc112504332" w:history="1">
        <w:r w:rsidR="00217A67" w:rsidRPr="00D05EB5">
          <w:rPr>
            <w:rStyle w:val="Hyperlink"/>
            <w:noProof/>
          </w:rPr>
          <w:t>Notificações e Controles sobre o uso de Subprocessadores</w:t>
        </w:r>
        <w:r w:rsidR="00217A67">
          <w:rPr>
            <w:noProof/>
            <w:webHidden/>
          </w:rPr>
          <w:tab/>
        </w:r>
        <w:r w:rsidR="00217A67">
          <w:rPr>
            <w:noProof/>
            <w:webHidden/>
          </w:rPr>
          <w:fldChar w:fldCharType="begin"/>
        </w:r>
        <w:r w:rsidR="00217A67">
          <w:rPr>
            <w:noProof/>
            <w:webHidden/>
          </w:rPr>
          <w:instrText xml:space="preserve"> PAGEREF _Toc112504332 \h </w:instrText>
        </w:r>
        <w:r w:rsidR="00217A67">
          <w:rPr>
            <w:noProof/>
            <w:webHidden/>
          </w:rPr>
        </w:r>
        <w:r w:rsidR="00217A67">
          <w:rPr>
            <w:noProof/>
            <w:webHidden/>
          </w:rPr>
          <w:fldChar w:fldCharType="separate"/>
        </w:r>
        <w:r w:rsidR="005F1F3A">
          <w:rPr>
            <w:noProof/>
            <w:webHidden/>
          </w:rPr>
          <w:t>11</w:t>
        </w:r>
        <w:r w:rsidR="00217A67">
          <w:rPr>
            <w:noProof/>
            <w:webHidden/>
          </w:rPr>
          <w:fldChar w:fldCharType="end"/>
        </w:r>
      </w:hyperlink>
    </w:p>
    <w:p w14:paraId="5D63A994" w14:textId="65D2FC8F" w:rsidR="00217A67" w:rsidRDefault="00AB741D">
      <w:pPr>
        <w:pStyle w:val="TOC5"/>
        <w:tabs>
          <w:tab w:val="right" w:leader="dot" w:pos="5030"/>
        </w:tabs>
        <w:rPr>
          <w:rFonts w:eastAsiaTheme="minorEastAsia"/>
          <w:noProof/>
          <w:sz w:val="22"/>
          <w:lang w:val="en-US" w:eastAsia="ko-KR" w:bidi="ar-SA"/>
        </w:rPr>
      </w:pPr>
      <w:hyperlink w:anchor="_Toc112504333" w:history="1">
        <w:r w:rsidR="00217A67" w:rsidRPr="00D05EB5">
          <w:rPr>
            <w:rStyle w:val="Hyperlink"/>
            <w:noProof/>
          </w:rPr>
          <w:t>Instituições Educacionais</w:t>
        </w:r>
        <w:r w:rsidR="00217A67">
          <w:rPr>
            <w:noProof/>
            <w:webHidden/>
          </w:rPr>
          <w:tab/>
        </w:r>
        <w:r w:rsidR="00217A67">
          <w:rPr>
            <w:noProof/>
            <w:webHidden/>
          </w:rPr>
          <w:fldChar w:fldCharType="begin"/>
        </w:r>
        <w:r w:rsidR="00217A67">
          <w:rPr>
            <w:noProof/>
            <w:webHidden/>
          </w:rPr>
          <w:instrText xml:space="preserve"> PAGEREF _Toc112504333 \h </w:instrText>
        </w:r>
        <w:r w:rsidR="00217A67">
          <w:rPr>
            <w:noProof/>
            <w:webHidden/>
          </w:rPr>
        </w:r>
        <w:r w:rsidR="00217A67">
          <w:rPr>
            <w:noProof/>
            <w:webHidden/>
          </w:rPr>
          <w:fldChar w:fldCharType="separate"/>
        </w:r>
        <w:r w:rsidR="005F1F3A">
          <w:rPr>
            <w:noProof/>
            <w:webHidden/>
          </w:rPr>
          <w:t>11</w:t>
        </w:r>
        <w:r w:rsidR="00217A67">
          <w:rPr>
            <w:noProof/>
            <w:webHidden/>
          </w:rPr>
          <w:fldChar w:fldCharType="end"/>
        </w:r>
      </w:hyperlink>
    </w:p>
    <w:p w14:paraId="536D7A17" w14:textId="4BF30EFB" w:rsidR="00217A67" w:rsidRDefault="00AB741D">
      <w:pPr>
        <w:pStyle w:val="TOC5"/>
        <w:tabs>
          <w:tab w:val="right" w:leader="dot" w:pos="5030"/>
        </w:tabs>
        <w:rPr>
          <w:rFonts w:eastAsiaTheme="minorEastAsia"/>
          <w:noProof/>
          <w:sz w:val="22"/>
          <w:lang w:val="en-US" w:eastAsia="ko-KR" w:bidi="ar-SA"/>
        </w:rPr>
      </w:pPr>
      <w:hyperlink w:anchor="_Toc112504334" w:history="1">
        <w:r w:rsidR="00217A67" w:rsidRPr="00D05EB5">
          <w:rPr>
            <w:rStyle w:val="Hyperlink"/>
            <w:noProof/>
          </w:rPr>
          <w:t>Contrato do Cliente do CJIS</w:t>
        </w:r>
        <w:r w:rsidR="00217A67">
          <w:rPr>
            <w:noProof/>
            <w:webHidden/>
          </w:rPr>
          <w:tab/>
        </w:r>
        <w:r w:rsidR="00217A67">
          <w:rPr>
            <w:noProof/>
            <w:webHidden/>
          </w:rPr>
          <w:fldChar w:fldCharType="begin"/>
        </w:r>
        <w:r w:rsidR="00217A67">
          <w:rPr>
            <w:noProof/>
            <w:webHidden/>
          </w:rPr>
          <w:instrText xml:space="preserve"> PAGEREF _Toc112504334 \h </w:instrText>
        </w:r>
        <w:r w:rsidR="00217A67">
          <w:rPr>
            <w:noProof/>
            <w:webHidden/>
          </w:rPr>
        </w:r>
        <w:r w:rsidR="00217A67">
          <w:rPr>
            <w:noProof/>
            <w:webHidden/>
          </w:rPr>
          <w:fldChar w:fldCharType="separate"/>
        </w:r>
        <w:r w:rsidR="005F1F3A">
          <w:rPr>
            <w:noProof/>
            <w:webHidden/>
          </w:rPr>
          <w:t>11</w:t>
        </w:r>
        <w:r w:rsidR="00217A67">
          <w:rPr>
            <w:noProof/>
            <w:webHidden/>
          </w:rPr>
          <w:fldChar w:fldCharType="end"/>
        </w:r>
      </w:hyperlink>
    </w:p>
    <w:p w14:paraId="29F1B0B4" w14:textId="7E923859" w:rsidR="00217A67" w:rsidRDefault="00AB741D">
      <w:pPr>
        <w:pStyle w:val="TOC5"/>
        <w:tabs>
          <w:tab w:val="right" w:leader="dot" w:pos="5030"/>
        </w:tabs>
        <w:rPr>
          <w:rFonts w:eastAsiaTheme="minorEastAsia"/>
          <w:noProof/>
          <w:sz w:val="22"/>
          <w:lang w:val="en-US" w:eastAsia="ko-KR" w:bidi="ar-SA"/>
        </w:rPr>
      </w:pPr>
      <w:hyperlink w:anchor="_Toc112504335" w:history="1">
        <w:r w:rsidR="00217A67" w:rsidRPr="00D05EB5">
          <w:rPr>
            <w:rStyle w:val="Hyperlink"/>
            <w:noProof/>
          </w:rPr>
          <w:t>Parceiro Comercial HIPPA</w:t>
        </w:r>
        <w:r w:rsidR="00217A67">
          <w:rPr>
            <w:noProof/>
            <w:webHidden/>
          </w:rPr>
          <w:tab/>
        </w:r>
        <w:r w:rsidR="00217A67">
          <w:rPr>
            <w:noProof/>
            <w:webHidden/>
          </w:rPr>
          <w:fldChar w:fldCharType="begin"/>
        </w:r>
        <w:r w:rsidR="00217A67">
          <w:rPr>
            <w:noProof/>
            <w:webHidden/>
          </w:rPr>
          <w:instrText xml:space="preserve"> PAGEREF _Toc112504335 \h </w:instrText>
        </w:r>
        <w:r w:rsidR="00217A67">
          <w:rPr>
            <w:noProof/>
            <w:webHidden/>
          </w:rPr>
        </w:r>
        <w:r w:rsidR="00217A67">
          <w:rPr>
            <w:noProof/>
            <w:webHidden/>
          </w:rPr>
          <w:fldChar w:fldCharType="separate"/>
        </w:r>
        <w:r w:rsidR="005F1F3A">
          <w:rPr>
            <w:noProof/>
            <w:webHidden/>
          </w:rPr>
          <w:t>12</w:t>
        </w:r>
        <w:r w:rsidR="00217A67">
          <w:rPr>
            <w:noProof/>
            <w:webHidden/>
          </w:rPr>
          <w:fldChar w:fldCharType="end"/>
        </w:r>
      </w:hyperlink>
    </w:p>
    <w:p w14:paraId="3814B5E5" w14:textId="79DE8107" w:rsidR="00217A67" w:rsidRDefault="00AB741D">
      <w:pPr>
        <w:pStyle w:val="TOC5"/>
        <w:tabs>
          <w:tab w:val="right" w:leader="dot" w:pos="5030"/>
        </w:tabs>
        <w:rPr>
          <w:rFonts w:eastAsiaTheme="minorEastAsia"/>
          <w:noProof/>
          <w:sz w:val="22"/>
          <w:lang w:val="en-US" w:eastAsia="ko-KR" w:bidi="ar-SA"/>
        </w:rPr>
      </w:pPr>
      <w:hyperlink w:anchor="_Toc112504336" w:history="1">
        <w:r w:rsidR="00217A67" w:rsidRPr="00D05EB5">
          <w:rPr>
            <w:rStyle w:val="Hyperlink"/>
            <w:noProof/>
          </w:rPr>
          <w:t>California Consumer Privacy Act (Lei de Privacidade do Consumidor da Califórnia, CCPA)</w:t>
        </w:r>
        <w:r w:rsidR="00217A67">
          <w:rPr>
            <w:noProof/>
            <w:webHidden/>
          </w:rPr>
          <w:tab/>
        </w:r>
        <w:r w:rsidR="00217A67">
          <w:rPr>
            <w:noProof/>
            <w:webHidden/>
          </w:rPr>
          <w:fldChar w:fldCharType="begin"/>
        </w:r>
        <w:r w:rsidR="00217A67">
          <w:rPr>
            <w:noProof/>
            <w:webHidden/>
          </w:rPr>
          <w:instrText xml:space="preserve"> PAGEREF _Toc112504336 \h </w:instrText>
        </w:r>
        <w:r w:rsidR="00217A67">
          <w:rPr>
            <w:noProof/>
            <w:webHidden/>
          </w:rPr>
        </w:r>
        <w:r w:rsidR="00217A67">
          <w:rPr>
            <w:noProof/>
            <w:webHidden/>
          </w:rPr>
          <w:fldChar w:fldCharType="separate"/>
        </w:r>
        <w:r w:rsidR="005F1F3A">
          <w:rPr>
            <w:noProof/>
            <w:webHidden/>
          </w:rPr>
          <w:t>12</w:t>
        </w:r>
        <w:r w:rsidR="00217A67">
          <w:rPr>
            <w:noProof/>
            <w:webHidden/>
          </w:rPr>
          <w:fldChar w:fldCharType="end"/>
        </w:r>
      </w:hyperlink>
    </w:p>
    <w:p w14:paraId="0D92D721" w14:textId="39C82D07" w:rsidR="00217A67" w:rsidRDefault="00AB741D">
      <w:pPr>
        <w:pStyle w:val="TOC5"/>
        <w:tabs>
          <w:tab w:val="right" w:leader="dot" w:pos="5030"/>
        </w:tabs>
        <w:rPr>
          <w:rFonts w:eastAsiaTheme="minorEastAsia"/>
          <w:noProof/>
          <w:sz w:val="22"/>
          <w:lang w:val="en-US" w:eastAsia="ko-KR" w:bidi="ar-SA"/>
        </w:rPr>
      </w:pPr>
      <w:hyperlink w:anchor="_Toc112504337" w:history="1">
        <w:r w:rsidR="00217A67" w:rsidRPr="00D05EB5">
          <w:rPr>
            <w:rStyle w:val="Hyperlink"/>
            <w:noProof/>
          </w:rPr>
          <w:t>Dados Biométricos</w:t>
        </w:r>
        <w:r w:rsidR="00217A67">
          <w:rPr>
            <w:noProof/>
            <w:webHidden/>
          </w:rPr>
          <w:tab/>
        </w:r>
        <w:r w:rsidR="00217A67">
          <w:rPr>
            <w:noProof/>
            <w:webHidden/>
          </w:rPr>
          <w:fldChar w:fldCharType="begin"/>
        </w:r>
        <w:r w:rsidR="00217A67">
          <w:rPr>
            <w:noProof/>
            <w:webHidden/>
          </w:rPr>
          <w:instrText xml:space="preserve"> PAGEREF _Toc112504337 \h </w:instrText>
        </w:r>
        <w:r w:rsidR="00217A67">
          <w:rPr>
            <w:noProof/>
            <w:webHidden/>
          </w:rPr>
        </w:r>
        <w:r w:rsidR="00217A67">
          <w:rPr>
            <w:noProof/>
            <w:webHidden/>
          </w:rPr>
          <w:fldChar w:fldCharType="separate"/>
        </w:r>
        <w:r w:rsidR="005F1F3A">
          <w:rPr>
            <w:noProof/>
            <w:webHidden/>
          </w:rPr>
          <w:t>12</w:t>
        </w:r>
        <w:r w:rsidR="00217A67">
          <w:rPr>
            <w:noProof/>
            <w:webHidden/>
          </w:rPr>
          <w:fldChar w:fldCharType="end"/>
        </w:r>
      </w:hyperlink>
    </w:p>
    <w:p w14:paraId="5553C4A9" w14:textId="381B1682" w:rsidR="00217A67" w:rsidRDefault="00AB741D">
      <w:pPr>
        <w:pStyle w:val="TOC5"/>
        <w:tabs>
          <w:tab w:val="right" w:leader="dot" w:pos="5030"/>
        </w:tabs>
        <w:rPr>
          <w:rFonts w:eastAsiaTheme="minorEastAsia"/>
          <w:noProof/>
          <w:sz w:val="22"/>
          <w:lang w:val="en-US" w:eastAsia="ko-KR" w:bidi="ar-SA"/>
        </w:rPr>
      </w:pPr>
      <w:hyperlink w:anchor="_Toc112504338" w:history="1">
        <w:r w:rsidR="00217A67" w:rsidRPr="00D05EB5">
          <w:rPr>
            <w:rStyle w:val="Hyperlink"/>
            <w:noProof/>
          </w:rPr>
          <w:t>Serviços Profissionais Complementares</w:t>
        </w:r>
        <w:r w:rsidR="00217A67">
          <w:rPr>
            <w:noProof/>
            <w:webHidden/>
          </w:rPr>
          <w:tab/>
        </w:r>
        <w:r w:rsidR="00217A67">
          <w:rPr>
            <w:noProof/>
            <w:webHidden/>
          </w:rPr>
          <w:fldChar w:fldCharType="begin"/>
        </w:r>
        <w:r w:rsidR="00217A67">
          <w:rPr>
            <w:noProof/>
            <w:webHidden/>
          </w:rPr>
          <w:instrText xml:space="preserve"> PAGEREF _Toc112504338 \h </w:instrText>
        </w:r>
        <w:r w:rsidR="00217A67">
          <w:rPr>
            <w:noProof/>
            <w:webHidden/>
          </w:rPr>
        </w:r>
        <w:r w:rsidR="00217A67">
          <w:rPr>
            <w:noProof/>
            <w:webHidden/>
          </w:rPr>
          <w:fldChar w:fldCharType="separate"/>
        </w:r>
        <w:r w:rsidR="005F1F3A">
          <w:rPr>
            <w:noProof/>
            <w:webHidden/>
          </w:rPr>
          <w:t>12</w:t>
        </w:r>
        <w:r w:rsidR="00217A67">
          <w:rPr>
            <w:noProof/>
            <w:webHidden/>
          </w:rPr>
          <w:fldChar w:fldCharType="end"/>
        </w:r>
      </w:hyperlink>
    </w:p>
    <w:p w14:paraId="09AC5FAA" w14:textId="39B4DBED" w:rsidR="00217A67" w:rsidRDefault="00AB741D">
      <w:pPr>
        <w:pStyle w:val="TOC5"/>
        <w:tabs>
          <w:tab w:val="right" w:leader="dot" w:pos="5030"/>
        </w:tabs>
        <w:rPr>
          <w:rFonts w:eastAsiaTheme="minorEastAsia"/>
          <w:noProof/>
          <w:sz w:val="22"/>
          <w:lang w:val="en-US" w:eastAsia="ko-KR" w:bidi="ar-SA"/>
        </w:rPr>
      </w:pPr>
      <w:hyperlink w:anchor="_Toc112504339" w:history="1">
        <w:r w:rsidR="00217A67" w:rsidRPr="00D05EB5">
          <w:rPr>
            <w:rStyle w:val="Hyperlink"/>
            <w:noProof/>
          </w:rPr>
          <w:t>Como Entrar em Contato com a Microsoft</w:t>
        </w:r>
        <w:r w:rsidR="00217A67">
          <w:rPr>
            <w:noProof/>
            <w:webHidden/>
          </w:rPr>
          <w:tab/>
        </w:r>
        <w:r w:rsidR="00217A67">
          <w:rPr>
            <w:noProof/>
            <w:webHidden/>
          </w:rPr>
          <w:fldChar w:fldCharType="begin"/>
        </w:r>
        <w:r w:rsidR="00217A67">
          <w:rPr>
            <w:noProof/>
            <w:webHidden/>
          </w:rPr>
          <w:instrText xml:space="preserve"> PAGEREF _Toc112504339 \h </w:instrText>
        </w:r>
        <w:r w:rsidR="00217A67">
          <w:rPr>
            <w:noProof/>
            <w:webHidden/>
          </w:rPr>
        </w:r>
        <w:r w:rsidR="00217A67">
          <w:rPr>
            <w:noProof/>
            <w:webHidden/>
          </w:rPr>
          <w:fldChar w:fldCharType="separate"/>
        </w:r>
        <w:r w:rsidR="005F1F3A">
          <w:rPr>
            <w:noProof/>
            <w:webHidden/>
          </w:rPr>
          <w:t>12</w:t>
        </w:r>
        <w:r w:rsidR="00217A67">
          <w:rPr>
            <w:noProof/>
            <w:webHidden/>
          </w:rPr>
          <w:fldChar w:fldCharType="end"/>
        </w:r>
      </w:hyperlink>
    </w:p>
    <w:p w14:paraId="34DEAF30" w14:textId="60CFD7ED" w:rsidR="00217A67" w:rsidRDefault="00AB741D">
      <w:pPr>
        <w:pStyle w:val="TOC1"/>
        <w:rPr>
          <w:rFonts w:eastAsiaTheme="minorEastAsia"/>
          <w:b w:val="0"/>
          <w:caps w:val="0"/>
          <w:noProof/>
          <w:sz w:val="22"/>
          <w:lang w:val="en-US" w:eastAsia="ko-KR" w:bidi="ar-SA"/>
        </w:rPr>
      </w:pPr>
      <w:hyperlink w:anchor="_Toc112504340" w:history="1">
        <w:r w:rsidR="00217A67" w:rsidRPr="00D05EB5">
          <w:rPr>
            <w:rStyle w:val="Hyperlink"/>
            <w:noProof/>
          </w:rPr>
          <w:t>Apêndice A – Medidas de Segurança</w:t>
        </w:r>
        <w:r w:rsidR="00217A67">
          <w:rPr>
            <w:noProof/>
            <w:webHidden/>
          </w:rPr>
          <w:tab/>
        </w:r>
        <w:r w:rsidR="00217A67">
          <w:rPr>
            <w:noProof/>
            <w:webHidden/>
          </w:rPr>
          <w:fldChar w:fldCharType="begin"/>
        </w:r>
        <w:r w:rsidR="00217A67">
          <w:rPr>
            <w:noProof/>
            <w:webHidden/>
          </w:rPr>
          <w:instrText xml:space="preserve"> PAGEREF _Toc112504340 \h </w:instrText>
        </w:r>
        <w:r w:rsidR="00217A67">
          <w:rPr>
            <w:noProof/>
            <w:webHidden/>
          </w:rPr>
        </w:r>
        <w:r w:rsidR="00217A67">
          <w:rPr>
            <w:noProof/>
            <w:webHidden/>
          </w:rPr>
          <w:fldChar w:fldCharType="separate"/>
        </w:r>
        <w:r w:rsidR="005F1F3A">
          <w:rPr>
            <w:noProof/>
            <w:webHidden/>
          </w:rPr>
          <w:t>13</w:t>
        </w:r>
        <w:r w:rsidR="00217A67">
          <w:rPr>
            <w:noProof/>
            <w:webHidden/>
          </w:rPr>
          <w:fldChar w:fldCharType="end"/>
        </w:r>
      </w:hyperlink>
    </w:p>
    <w:p w14:paraId="5DF38147" w14:textId="07D75CBA" w:rsidR="00217A67" w:rsidRDefault="00AB741D">
      <w:pPr>
        <w:pStyle w:val="TOC1"/>
        <w:rPr>
          <w:rFonts w:eastAsiaTheme="minorEastAsia"/>
          <w:b w:val="0"/>
          <w:caps w:val="0"/>
          <w:noProof/>
          <w:sz w:val="22"/>
          <w:lang w:val="en-US" w:eastAsia="ko-KR" w:bidi="ar-SA"/>
        </w:rPr>
      </w:pPr>
      <w:hyperlink w:anchor="_Toc112504341" w:history="1">
        <w:r w:rsidR="00217A67" w:rsidRPr="00D05EB5">
          <w:rPr>
            <w:rStyle w:val="Hyperlink"/>
            <w:noProof/>
          </w:rPr>
          <w:t>Apêndice B - Titulares dos Dados e Categorias de Dados Pessoais</w:t>
        </w:r>
        <w:r w:rsidR="00217A67">
          <w:rPr>
            <w:noProof/>
            <w:webHidden/>
          </w:rPr>
          <w:tab/>
        </w:r>
        <w:r w:rsidR="00217A67">
          <w:rPr>
            <w:noProof/>
            <w:webHidden/>
          </w:rPr>
          <w:fldChar w:fldCharType="begin"/>
        </w:r>
        <w:r w:rsidR="00217A67">
          <w:rPr>
            <w:noProof/>
            <w:webHidden/>
          </w:rPr>
          <w:instrText xml:space="preserve"> PAGEREF _Toc112504341 \h </w:instrText>
        </w:r>
        <w:r w:rsidR="00217A67">
          <w:rPr>
            <w:noProof/>
            <w:webHidden/>
          </w:rPr>
        </w:r>
        <w:r w:rsidR="00217A67">
          <w:rPr>
            <w:noProof/>
            <w:webHidden/>
          </w:rPr>
          <w:fldChar w:fldCharType="separate"/>
        </w:r>
        <w:r w:rsidR="005F1F3A">
          <w:rPr>
            <w:noProof/>
            <w:webHidden/>
          </w:rPr>
          <w:t>16</w:t>
        </w:r>
        <w:r w:rsidR="00217A67">
          <w:rPr>
            <w:noProof/>
            <w:webHidden/>
          </w:rPr>
          <w:fldChar w:fldCharType="end"/>
        </w:r>
      </w:hyperlink>
    </w:p>
    <w:p w14:paraId="61B36D83" w14:textId="470C1EC7" w:rsidR="00217A67" w:rsidRDefault="00AB741D">
      <w:pPr>
        <w:pStyle w:val="TOC1"/>
        <w:rPr>
          <w:rFonts w:eastAsiaTheme="minorEastAsia"/>
          <w:b w:val="0"/>
          <w:caps w:val="0"/>
          <w:noProof/>
          <w:sz w:val="22"/>
          <w:lang w:val="en-US" w:eastAsia="ko-KR" w:bidi="ar-SA"/>
        </w:rPr>
      </w:pPr>
      <w:hyperlink w:anchor="_Toc112504342" w:history="1">
        <w:r w:rsidR="00217A67" w:rsidRPr="00D05EB5">
          <w:rPr>
            <w:rStyle w:val="Hyperlink"/>
            <w:noProof/>
          </w:rPr>
          <w:t>Apêndice C - Adendo de Proteções Adicionais</w:t>
        </w:r>
        <w:r w:rsidR="00217A67">
          <w:rPr>
            <w:noProof/>
            <w:webHidden/>
          </w:rPr>
          <w:tab/>
        </w:r>
        <w:r w:rsidR="00217A67">
          <w:rPr>
            <w:noProof/>
            <w:webHidden/>
          </w:rPr>
          <w:fldChar w:fldCharType="begin"/>
        </w:r>
        <w:r w:rsidR="00217A67">
          <w:rPr>
            <w:noProof/>
            <w:webHidden/>
          </w:rPr>
          <w:instrText xml:space="preserve"> PAGEREF _Toc112504342 \h </w:instrText>
        </w:r>
        <w:r w:rsidR="00217A67">
          <w:rPr>
            <w:noProof/>
            <w:webHidden/>
          </w:rPr>
        </w:r>
        <w:r w:rsidR="00217A67">
          <w:rPr>
            <w:noProof/>
            <w:webHidden/>
          </w:rPr>
          <w:fldChar w:fldCharType="separate"/>
        </w:r>
        <w:r w:rsidR="005F1F3A">
          <w:rPr>
            <w:noProof/>
            <w:webHidden/>
          </w:rPr>
          <w:t>18</w:t>
        </w:r>
        <w:r w:rsidR="00217A67">
          <w:rPr>
            <w:noProof/>
            <w:webHidden/>
          </w:rPr>
          <w:fldChar w:fldCharType="end"/>
        </w:r>
      </w:hyperlink>
    </w:p>
    <w:p w14:paraId="3B7D29EF" w14:textId="6A038832" w:rsidR="00217A67" w:rsidRDefault="00AB741D">
      <w:pPr>
        <w:pStyle w:val="TOC1"/>
        <w:rPr>
          <w:rFonts w:eastAsiaTheme="minorEastAsia"/>
          <w:b w:val="0"/>
          <w:caps w:val="0"/>
          <w:noProof/>
          <w:sz w:val="22"/>
          <w:lang w:val="en-US" w:eastAsia="ko-KR" w:bidi="ar-SA"/>
        </w:rPr>
      </w:pPr>
      <w:hyperlink w:anchor="_Toc112504343" w:history="1">
        <w:r w:rsidR="00217A67" w:rsidRPr="00D05EB5">
          <w:rPr>
            <w:rStyle w:val="Hyperlink"/>
            <w:noProof/>
          </w:rPr>
          <w:t>Anexo 1 – Termos do Regulamento Geral de Proteção de Dados da União Europeia</w:t>
        </w:r>
        <w:r w:rsidR="00217A67">
          <w:rPr>
            <w:noProof/>
            <w:webHidden/>
          </w:rPr>
          <w:tab/>
        </w:r>
        <w:r w:rsidR="00217A67">
          <w:rPr>
            <w:noProof/>
            <w:webHidden/>
          </w:rPr>
          <w:fldChar w:fldCharType="begin"/>
        </w:r>
        <w:r w:rsidR="00217A67">
          <w:rPr>
            <w:noProof/>
            <w:webHidden/>
          </w:rPr>
          <w:instrText xml:space="preserve"> PAGEREF _Toc112504343 \h </w:instrText>
        </w:r>
        <w:r w:rsidR="00217A67">
          <w:rPr>
            <w:noProof/>
            <w:webHidden/>
          </w:rPr>
        </w:r>
        <w:r w:rsidR="00217A67">
          <w:rPr>
            <w:noProof/>
            <w:webHidden/>
          </w:rPr>
          <w:fldChar w:fldCharType="separate"/>
        </w:r>
        <w:r w:rsidR="005F1F3A">
          <w:rPr>
            <w:noProof/>
            <w:webHidden/>
          </w:rPr>
          <w:t>19</w:t>
        </w:r>
        <w:r w:rsidR="00217A67">
          <w:rPr>
            <w:noProof/>
            <w:webHidden/>
          </w:rPr>
          <w:fldChar w:fldCharType="end"/>
        </w:r>
      </w:hyperlink>
    </w:p>
    <w:p w14:paraId="078B3149" w14:textId="4BBE8C84"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112504315"/>
      <w:bookmarkStart w:id="8" w:name="Introduction"/>
      <w:r>
        <w:lastRenderedPageBreak/>
        <w:t>Introdução</w:t>
      </w:r>
      <w:bookmarkEnd w:id="4"/>
      <w:bookmarkEnd w:id="5"/>
      <w:bookmarkEnd w:id="6"/>
      <w:bookmarkEnd w:id="7"/>
    </w:p>
    <w:p w14:paraId="6CE39BF0" w14:textId="77777777" w:rsidR="00E4190C" w:rsidRPr="00FC77AC" w:rsidRDefault="00E4190C" w:rsidP="00E4190C">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8"/>
      <w:r>
        <w:t xml:space="preserve">As partes concordam que este Adendo de Proteção de Dados dos Serviços e Produtos da Microsoft (“DPA”) estabelece suas obrigações com relação ao processamento e à segurança dos Dados do Cliente, Dados de Serviços Profissionais e Dados Pessoais em relação aos Serviços e Produtos. O DPA é incorporado por referência aos Termos do Produto e a outros contratos da Microsoft. As partes também concordam que, a menos que exista um contrato de Serviços Profissionais separados, este DPA rege o processamento e a segurança dos Dados de Serviços Profissionais. Termos separados, incluindo outros termos de privacidade e segurança, regem o uso que o Cliente faz de Produtos que Não Sejam da Microsoft. </w:t>
      </w:r>
    </w:p>
    <w:p w14:paraId="72E22CD6" w14:textId="77777777" w:rsidR="00E4190C" w:rsidRPr="00FC77AC" w:rsidRDefault="00E4190C" w:rsidP="00E4190C">
      <w:pPr>
        <w:pStyle w:val="ProductList-Body"/>
        <w:spacing w:after="120"/>
      </w:pPr>
      <w:r>
        <w:t xml:space="preserve">Em caso de conflitos ou inconsistência entre os Termos do DPA e quaisquer outros termos no contrato de licenciamento por volume do Cliente, os Termos do DPA prevalecerão. As disposições dos Termos do DPA substituem todas as disposições conflitantes da Política de Privacidade da Microsoft que, de outra forma, poderão se aplicar ao processamento dos Dados do Cliente, dos Dados de Serviços Profissionais ou Dados Pessoais conforme definidos aqui. </w:t>
      </w:r>
    </w:p>
    <w:p w14:paraId="0F703557" w14:textId="69DF083F" w:rsidR="00DD6D76" w:rsidRPr="00FC77AC" w:rsidRDefault="00E4190C" w:rsidP="00E4190C">
      <w:pPr>
        <w:pStyle w:val="ProductList-Body"/>
        <w:spacing w:after="120"/>
      </w:pPr>
      <w:r>
        <w:t>A Microsoft assume os compromissos estabelecidos neste DPA perante todos os clientes com contratos de licenciamento por volume. Esses compromissos estão vinculados à Microsoft em relação ao Cliente, independentemente (1) dos Termos do Produto que, de outra forma, se apliquem a qualquer licença ou assinatura determinada do Produto ou (2) de qualquer outro contrato que faça referência aos Termos do Produto.</w:t>
      </w:r>
    </w:p>
    <w:p w14:paraId="5EBB00B4" w14:textId="77777777" w:rsidR="00DD6D76" w:rsidRPr="00FC77AC" w:rsidRDefault="00DD6D76" w:rsidP="00DD6D76">
      <w:pPr>
        <w:pStyle w:val="ProductList-SubSubSectionHeading"/>
        <w:spacing w:after="120"/>
        <w:outlineLvl w:val="1"/>
      </w:pPr>
      <w:bookmarkStart w:id="15" w:name="_Toc42764827"/>
      <w:bookmarkStart w:id="16" w:name="_Toc112504316"/>
      <w:bookmarkEnd w:id="9"/>
      <w:bookmarkEnd w:id="10"/>
      <w:bookmarkEnd w:id="11"/>
      <w:r>
        <w:t>Atualizações e Termos do DPA Aplicáveis</w:t>
      </w:r>
      <w:bookmarkEnd w:id="15"/>
      <w:bookmarkEnd w:id="16"/>
    </w:p>
    <w:p w14:paraId="4716D8C6" w14:textId="77777777" w:rsidR="00DD6D76" w:rsidRPr="00FC77AC" w:rsidRDefault="00DD6D76" w:rsidP="00DD6D76">
      <w:pPr>
        <w:pStyle w:val="ProductList-Body"/>
        <w:spacing w:after="120"/>
        <w:ind w:left="187"/>
        <w:outlineLvl w:val="2"/>
      </w:pPr>
      <w:r>
        <w:rPr>
          <w:b/>
          <w:color w:val="0072C6"/>
        </w:rPr>
        <w:t>Limites de Atualizações</w:t>
      </w:r>
    </w:p>
    <w:p w14:paraId="52870689" w14:textId="288B56AF" w:rsidR="00DD6D76" w:rsidRPr="00FC77AC" w:rsidRDefault="00DD6D76" w:rsidP="00DD6D76">
      <w:pPr>
        <w:pStyle w:val="ProductList-Body"/>
        <w:spacing w:after="120"/>
        <w:ind w:left="158"/>
      </w:pPr>
      <w:r>
        <w:t xml:space="preserve">Quando o Cliente renova ou adquire uma nova assinatura de um Produto ou emite uma ordem de serviço para um Serviço Profissional, os Termos do DPA em vigor na época serão aplicados e não serão alterados durante a assinatura do Cliente para aquele Produto ou período para aquele Serviço Profissional. Quando o Cliente obtiver uma licença perpétua para o Software, os Termos do DPA vigentes se aplicarão (seguindo a mesma disposição para determinar os Termos do Produto vigentes aplicáveis para aquele Software no licenciamento por volume do Cliente) e não serão alterados durante a licença do Cliente para o referido Software. </w:t>
      </w:r>
    </w:p>
    <w:p w14:paraId="2112911C" w14:textId="77777777" w:rsidR="00DD6D76" w:rsidRPr="00FC77AC" w:rsidRDefault="00DD6D76" w:rsidP="00DD6D76">
      <w:pPr>
        <w:pStyle w:val="ProductList-Body"/>
        <w:spacing w:after="120"/>
        <w:ind w:left="187"/>
        <w:outlineLvl w:val="2"/>
      </w:pPr>
      <w:bookmarkStart w:id="17" w:name="_Hlk40343587"/>
      <w:r>
        <w:rPr>
          <w:b/>
          <w:color w:val="0072C6"/>
        </w:rPr>
        <w:t>Novos Recursos, Suplementos ou Softwares Relacionados</w:t>
      </w:r>
      <w:bookmarkEnd w:id="17"/>
    </w:p>
    <w:p w14:paraId="6055A2C1" w14:textId="6E4DF0FA" w:rsidR="00DD6D76" w:rsidRPr="00FC77AC" w:rsidRDefault="00DD6D76" w:rsidP="00DD6D76">
      <w:pPr>
        <w:pStyle w:val="ProductList-Body"/>
        <w:spacing w:after="120"/>
        <w:ind w:left="158"/>
      </w:pPr>
      <w:r>
        <w:t>Não obstante os limites de atualizações supracitados, quando a Microsoft lançar novos recursos, ofertas, suplementos ou softwares relacionados (isto é, que anteriormente não eram incluídos com os Produtos ou Serviços), a Microsoft poderá fornecer termos ou fazer atualizações nos DPA que serão aplicáveis ao uso que o Cliente fizer desses novos recursos, ofertas, suplementos ou programas de software relacionados. Se esses termos incluírem alguma alteração substancialmente adversa nos Termos do DPA, a Microsoft fornecerá ao Cliente a opção de usar os novos recursos, ofertas, suplementos ou softwares relacionados, sem perda da funcionalidade existente de um Produto ou Serviço Profissional geralmente disponível. Se o Cliente não instalar nem usar os novos recursos, ofertas, suplementos ou software relacionado, os novos termos correspondentes não se aplicarão.</w:t>
      </w:r>
    </w:p>
    <w:p w14:paraId="5051C02C" w14:textId="77777777" w:rsidR="00DD6D76" w:rsidRPr="00FC77AC" w:rsidRDefault="00DD6D76" w:rsidP="00DD6D76">
      <w:pPr>
        <w:pStyle w:val="ProductList-Body"/>
        <w:spacing w:after="120"/>
        <w:ind w:left="187"/>
        <w:outlineLvl w:val="2"/>
      </w:pPr>
      <w:r>
        <w:rPr>
          <w:b/>
          <w:color w:val="0072C6"/>
        </w:rPr>
        <w:t>Requisitos e Regulamento Governamental</w:t>
      </w:r>
    </w:p>
    <w:p w14:paraId="6B462DB3" w14:textId="22D3B5A8" w:rsidR="00DD6D76" w:rsidRPr="00FC77AC" w:rsidRDefault="00DD6D76" w:rsidP="00DD6D76">
      <w:pPr>
        <w:pStyle w:val="ProductList-Body"/>
        <w:spacing w:after="120"/>
        <w:ind w:left="158"/>
      </w:pPr>
      <w:r>
        <w:t>Não obstante os limites de atualizações anteriores, a Microsoft poderá modificar ou rescindir um Produto ou Serviço Profissional em qualquer país ou jurisdição em que haja requisitos ou obrigações governamentais atuais ou futuras que (1) sujeitem a Microsoft a qualquer regulamento ou requisito geralmente não aplicável à operação do negócio, (2) represente incômodo para a Microsoft continuar a operação do Produto ou a oferta do Serviço Profissional sem modificações e/ou (3) faça com que a Microsoft julgue que os Termos do DPA ou o Produto ou o Serviço Profissional possam estar em conflito com qualquer um desses requisitos ou obrigações.</w:t>
      </w:r>
    </w:p>
    <w:p w14:paraId="533F1F74" w14:textId="77777777" w:rsidR="009776B9" w:rsidRPr="00FC77AC" w:rsidRDefault="009776B9" w:rsidP="007829B6">
      <w:pPr>
        <w:pStyle w:val="ProductList-SubSubSectionHeading"/>
        <w:spacing w:after="120"/>
        <w:outlineLvl w:val="1"/>
      </w:pPr>
      <w:bookmarkStart w:id="18" w:name="_Toc112504317"/>
      <w:r>
        <w:t>Notificações Eletrônicas</w:t>
      </w:r>
      <w:bookmarkEnd w:id="12"/>
      <w:bookmarkEnd w:id="13"/>
      <w:bookmarkEnd w:id="14"/>
      <w:bookmarkEnd w:id="18"/>
    </w:p>
    <w:p w14:paraId="37A67D7B" w14:textId="0CECD8B1" w:rsidR="009776B9" w:rsidRPr="00FC77AC" w:rsidRDefault="009776B9" w:rsidP="007829B6">
      <w:pPr>
        <w:pStyle w:val="ProductList-Body"/>
        <w:spacing w:after="120"/>
      </w:pPr>
      <w:r>
        <w:t xml:space="preserve">A Microsoft poderá fornecer ao Cliente informações e notificações sobre os Produtos e Serviços por meios eletrônicos, entre eles, email, portal de um Serviço Online ou um site identificado pela Microsoft. A notificação será considerada fornecida na data em que ela for disponibilizada pela Microsoft. </w:t>
      </w:r>
    </w:p>
    <w:p w14:paraId="7A124922" w14:textId="77777777" w:rsidR="009776B9" w:rsidRPr="00FC77AC" w:rsidRDefault="009776B9" w:rsidP="007829B6">
      <w:pPr>
        <w:pStyle w:val="ProductList-SubSubSectionHeading"/>
        <w:spacing w:after="120"/>
        <w:outlineLvl w:val="1"/>
      </w:pPr>
      <w:bookmarkStart w:id="19" w:name="_Toc507768535"/>
      <w:bookmarkStart w:id="20" w:name="_Toc6563784"/>
      <w:bookmarkStart w:id="21" w:name="_Toc26883657"/>
      <w:bookmarkStart w:id="22" w:name="_Toc112504318"/>
      <w:r>
        <w:t>Versões Anteriores</w:t>
      </w:r>
      <w:bookmarkEnd w:id="19"/>
      <w:bookmarkEnd w:id="20"/>
      <w:bookmarkEnd w:id="21"/>
      <w:bookmarkEnd w:id="22"/>
    </w:p>
    <w:p w14:paraId="6CA8233C" w14:textId="7541A4D0" w:rsidR="009776B9" w:rsidRPr="00FC77AC" w:rsidRDefault="00DD6D76" w:rsidP="007829B6">
      <w:pPr>
        <w:pStyle w:val="ProductList-Body"/>
        <w:spacing w:after="120"/>
      </w:pPr>
      <w:r>
        <w:t xml:space="preserve">Os Termos do DPA fornecem termos para os Produtos e Serviços disponíveis atualmente. Para versões anteriores dos Termos do DPA, o Cliente pode consultar o site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ou entrar em contato com o revendedor ou o Gerente de Conta Microsoft.</w:t>
      </w:r>
    </w:p>
    <w:bookmarkStart w:id="24" w:name="_Hlk494736247"/>
    <w:bookmarkStart w:id="25"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6" w:name="_Toc507768537"/>
      <w:bookmarkStart w:id="27" w:name="_Toc6563786"/>
      <w:bookmarkStart w:id="28" w:name="_Toc26883659"/>
      <w:bookmarkStart w:id="29" w:name="_Toc112504319"/>
      <w:bookmarkStart w:id="30" w:name="Definitions"/>
      <w:bookmarkEnd w:id="24"/>
      <w:bookmarkEnd w:id="25"/>
      <w:r>
        <w:lastRenderedPageBreak/>
        <w:t>Definições</w:t>
      </w:r>
      <w:bookmarkEnd w:id="26"/>
      <w:bookmarkEnd w:id="27"/>
      <w:bookmarkEnd w:id="28"/>
      <w:bookmarkEnd w:id="29"/>
    </w:p>
    <w:bookmarkEnd w:id="30"/>
    <w:p w14:paraId="431BD289" w14:textId="77777777" w:rsidR="00B0233F" w:rsidRPr="00FC77AC" w:rsidRDefault="00B0233F" w:rsidP="00B0233F">
      <w:pPr>
        <w:pStyle w:val="ProductList-Body"/>
        <w:spacing w:after="120"/>
      </w:pPr>
      <w:r>
        <w:t>Os termos em letras maiúsculas usados neste DPA, mas não aqui definidos, terão os significados atribuídos a eles no contrato de licenciamento por volume. Os termos definidos abaixo são usadas neste DPA:</w:t>
      </w:r>
    </w:p>
    <w:p w14:paraId="1D689A74" w14:textId="77777777" w:rsidR="00B0233F" w:rsidRPr="00FC77AC" w:rsidRDefault="00B0233F" w:rsidP="00B0233F">
      <w:pPr>
        <w:pStyle w:val="ProductList-Body"/>
        <w:spacing w:after="120"/>
      </w:pPr>
      <w:r>
        <w:t>“Dados do Cliente” significa todos os dados, incluindo todos os arquivos de texto, som, vídeo ou imagens, e software fornecidos à Microsoft pelo Cliente ou em nome dele por meio do uso do Serviço Online. Os Dados do Cliente não incluem Dados de Serviços Profissionais.</w:t>
      </w:r>
    </w:p>
    <w:p w14:paraId="50FA0EF5" w14:textId="77777777" w:rsidR="00B0233F" w:rsidRPr="00FC77AC" w:rsidRDefault="00B0233F" w:rsidP="00B0233F">
      <w:pPr>
        <w:pStyle w:val="ProductList-Body"/>
        <w:spacing w:after="120"/>
      </w:pPr>
      <w:r>
        <w:t>“Requisitos de Proteção de Dados” significa o GDPR, as Leis de Proteção de Dados Locais da UE/AEE e todas as leis, os regulamentos e outros requisitos legais aplicáveis relacionados ao seguinte: (a) privacidade e segurança de dados e (b) uso, coleta, retenção, armazenamento, segurança, divulgação, transferência, descarte e outro processamento de Dados Pessoais.</w:t>
      </w:r>
    </w:p>
    <w:p w14:paraId="241CBD66" w14:textId="77777777" w:rsidR="00B0233F" w:rsidRPr="00FC77AC" w:rsidRDefault="00B0233F" w:rsidP="00B0233F">
      <w:pPr>
        <w:pStyle w:val="ProductList-Body"/>
        <w:spacing w:after="120"/>
      </w:pPr>
      <w:r>
        <w:t xml:space="preserve">“Termos do DPA” significa os termos no DPA e quaisquer termos específicos do Produto nos Termos do Produto que suplementam ou modificam especificamente os termos de privacidade e segurança no DPA para um Produto específico (ou recurso de um Produto). Em caso de conflitos ou inconsistência entre o DPA e os referidos termos específicos do Produto, estes últimos prevalecerão em relação ao Produto aplicável (ou recurso daquele Produto). </w:t>
      </w:r>
    </w:p>
    <w:p w14:paraId="6F8084EB" w14:textId="77777777" w:rsidR="00BD28D7" w:rsidRPr="00FC77AC" w:rsidRDefault="00B0233F" w:rsidP="00B0233F">
      <w:pPr>
        <w:pStyle w:val="ProductList-Body"/>
        <w:spacing w:after="120"/>
      </w:pPr>
      <w:r>
        <w:t>“GDPR” significa o Regulamento (EU) 2016/679 do Parlamento Europeu e do Conselho de 27 de abril de 2016 sobre a proteção de indivíduos com relação ao processamento de dados pessoais e sobre a livre movimentação de tais dados, e que anula a Diretiva 95/46/EC (Regulamento Geral de Proteção de Dados).</w:t>
      </w:r>
    </w:p>
    <w:p w14:paraId="7D9AB736" w14:textId="09F0A1EC" w:rsidR="00B0233F" w:rsidRPr="00FC77AC" w:rsidRDefault="00B0233F" w:rsidP="00B0233F">
      <w:pPr>
        <w:pStyle w:val="ProductList-Body"/>
        <w:spacing w:after="120"/>
      </w:pPr>
      <w:r>
        <w:t xml:space="preserve">“Leis de Proteção de Dados Locais da UE/EEA” significa qualquer legislação e regulamento subordinados que implementam o GDPR. </w:t>
      </w:r>
    </w:p>
    <w:p w14:paraId="3373858F" w14:textId="57962F78" w:rsidR="00B0233F" w:rsidRPr="00FC77AC" w:rsidRDefault="00B0233F" w:rsidP="00B0233F">
      <w:pPr>
        <w:pStyle w:val="ProductList-Body"/>
        <w:spacing w:after="120"/>
      </w:pPr>
      <w:r>
        <w:t xml:space="preserve">“Termos do GDPR” significa os termos do </w:t>
      </w:r>
      <w:hyperlink w:anchor="Attachment1" w:history="1">
        <w:r>
          <w:rPr>
            <w:rStyle w:val="Hyperlink"/>
          </w:rPr>
          <w:t>Anexo 1</w:t>
        </w:r>
      </w:hyperlink>
      <w:r>
        <w:t>, segundo os quais a Microsoft se compromete de forma vinculativa com relação ao seu processamento de Dados Pessoais, conforme exigido pelo Artigo 28 do GDPR.</w:t>
      </w:r>
    </w:p>
    <w:p w14:paraId="71D78B00" w14:textId="77777777" w:rsidR="00B0233F" w:rsidRPr="00FC77AC" w:rsidRDefault="00B0233F" w:rsidP="00B0233F">
      <w:pPr>
        <w:pStyle w:val="ProductList-Body"/>
        <w:spacing w:after="120"/>
      </w:pPr>
      <w:r>
        <w:t xml:space="preserve">“Dados Pessoais” significa qualquer informação com relação a uma pessoa identificada ou identificável. Uma pessoa identificável é aquela que pode ser identificada, direta ou indiretamente, em particular por referência a um identificador como nome, número de identificação, dados de localização, um identificador online ou a um ou mais elementos específicos da identidade física, fisiológica, genética, mental, econômica, cultural ou social dessa pessoa. </w:t>
      </w:r>
    </w:p>
    <w:p w14:paraId="74FC66D9" w14:textId="77777777" w:rsidR="00B0233F" w:rsidRPr="00FC77AC" w:rsidRDefault="00B0233F" w:rsidP="00B0233F">
      <w:pPr>
        <w:pStyle w:val="ProductList-Body"/>
        <w:spacing w:after="120"/>
      </w:pPr>
      <w:r>
        <w:t xml:space="preserve">“Produto“ tem o significado previsto no contrato de licença por volume. Para facilitar a referência, “Produto” inclui o Software e os Serviços Online, cada um conforme definido no contrato de licença por volume. </w:t>
      </w:r>
    </w:p>
    <w:p w14:paraId="120289BF" w14:textId="77777777" w:rsidR="00B0233F" w:rsidRPr="00FC77AC" w:rsidRDefault="00B0233F" w:rsidP="00B0233F">
      <w:pPr>
        <w:pStyle w:val="ProductList-Body"/>
        <w:spacing w:after="120"/>
      </w:pPr>
      <w:r>
        <w:t>“Produtos e Serviços” significa Produtos e Serviços Profissionais. A disponibilidade de Produtos e Serviços Profissionais pode variar de acordo com a região, e a aplicabilidade deste DPA a Produtos e Serviços Profissionais específicos está sujeita às limitações na seção Escopo deste DPA.</w:t>
      </w:r>
    </w:p>
    <w:p w14:paraId="066B220E" w14:textId="1086CAFF" w:rsidR="00B0233F" w:rsidRPr="00FC77AC" w:rsidRDefault="00B0233F" w:rsidP="00B0233F">
      <w:pPr>
        <w:pStyle w:val="ProductList-Body"/>
        <w:spacing w:after="120"/>
      </w:pPr>
      <w:r>
        <w:t xml:space="preserve">“Serviços Profissionais” significa os seguintes serviços: (a) serviços de consultoria da Microsoft, que consistem em planejamento, consultoria, orientações, migração de dados, implantação e serviços de desenvolvimento de soluções/software de acordo com a Ordem de Serviço dos Serviços Corporativos da Microsoft ou um </w:t>
      </w:r>
      <w:r w:rsidR="000B3B1F">
        <w:t>Cloud Workload Acceleration Agrement</w:t>
      </w:r>
      <w:r>
        <w:t xml:space="preserve"> que incorpora este DPA por referência e (b) serviços de suporte técnico fornecidos pela Microsoft que ajudam os clientes a identificar e resolver problemas que afetam os Produtos, incluindo o suporte técnico fornecido como parte do Suporte Unificado da Microsoft ou Serviços de Suporte Premier (conforme descrito na Consultoria de Serviços e Descrição de Suporte ou Descrição dos Serviços, respectivamente) e quaisquer outros serviços de suporte técnico comercial. Os Serviços Profissionais não incluem os Produtos ou, somente para os fins do DPA, os Serviços Profissionais Complementares.</w:t>
      </w:r>
    </w:p>
    <w:p w14:paraId="5706395E" w14:textId="77777777" w:rsidR="00B0233F" w:rsidRPr="00FC77AC" w:rsidRDefault="00B0233F" w:rsidP="00B0233F">
      <w:pPr>
        <w:pStyle w:val="ProductList-Body"/>
        <w:spacing w:after="120"/>
      </w:pPr>
      <w:r>
        <w:t xml:space="preserve">“Dados de Serviços Profissionais” significa todos os dados, incluindo todos os arquivos de texto, som, vídeo, imagem ou software, fornecidos para a Microsoft pelo Cliente ou em nome dele (ou que o Cliente autoriza a Microsoft a obter de um Produto) ou obtidos ou processados de outra forma pela Microsoft ou em nome dela por meio de um contrato com a Microsoft para obter Serviços Profissionais. </w:t>
      </w:r>
    </w:p>
    <w:p w14:paraId="24D3B387" w14:textId="77777777" w:rsidR="00B0233F" w:rsidRPr="00FC77AC" w:rsidRDefault="00B0233F" w:rsidP="00B0233F">
      <w:pPr>
        <w:pStyle w:val="ProductList-Body"/>
        <w:spacing w:after="120"/>
      </w:pPr>
      <w:r>
        <w:t>“Cláusulas Contratuais Padrão de 2021” significa as cláusulas de proteção de dados padrão (módulo processador para processador) entre a Microsoft Ireland Operations Limited e a Microsoft Corporation para a transferência de dados pessoais de processadores na EEA a processadores estabelecidos em países de terceiros que não garantem um nível adequado de proteção de dados, conforme descrito no Artigo 46 do GDPR e aprovado pela decisão da Comissão Europeia 2021/914/EC de 4 de junho de 2021.</w:t>
      </w:r>
    </w:p>
    <w:p w14:paraId="689AF67E" w14:textId="77777777" w:rsidR="00B0233F" w:rsidRPr="00FC77AC" w:rsidRDefault="00B0233F" w:rsidP="00B0233F">
      <w:pPr>
        <w:pStyle w:val="ProductList-Body"/>
        <w:spacing w:after="120"/>
      </w:pPr>
      <w:r>
        <w:t xml:space="preserve">“Subprocessador” significa os outros processadores usados pela Microsoft para processar Dados do Cliente, Dados de Serviços Profissionais e Dados Pessoais, conforme descrito no Artigo 28 do GDPR. </w:t>
      </w:r>
    </w:p>
    <w:p w14:paraId="1BEF1F4F" w14:textId="77777777" w:rsidR="00B0233F" w:rsidRPr="00FC77AC" w:rsidRDefault="00B0233F" w:rsidP="00B0233F">
      <w:pPr>
        <w:pStyle w:val="ProductList-Body"/>
        <w:spacing w:after="120"/>
      </w:pPr>
      <w:r>
        <w:t xml:space="preserve">“Serviços Profissionais Complementares“ significa solicitações de suporte escaladas a partir do suporte para uma equipe de engenharia de Produtos para resolução e outras consultorias e suporte da Microsoft fornecidos em conexão com Produtos ou um contrato de licença por volume que não está incluído na definição de Serviços Profissionais. </w:t>
      </w:r>
    </w:p>
    <w:p w14:paraId="6D4DB565" w14:textId="3F90E3E1" w:rsidR="00DD6D76" w:rsidRPr="00FC77AC" w:rsidRDefault="00B0233F" w:rsidP="00B0233F">
      <w:pPr>
        <w:pStyle w:val="ProductList-Body"/>
        <w:spacing w:after="120"/>
      </w:pPr>
      <w:r>
        <w:t xml:space="preserve">Os termos com iniciais minúsculas, mas não definidos neste DPA, como “violação de dados pessoais”, “processamento”, “controlador”, “processador”, “criação de perfil”, “dados pessoais” e “titular dos dados”, terão o mesmo significado conforme estabelecido no Artigo 4 do GDPR, independentemente de o GDPR se aplicar ou não. </w:t>
      </w:r>
    </w:p>
    <w:p w14:paraId="77C9E5E9" w14:textId="2F7A3C49" w:rsidR="00253BA3" w:rsidRPr="00FC77AC" w:rsidRDefault="00AB741D" w:rsidP="00C35BD5">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p w14:paraId="67553494" w14:textId="77777777" w:rsidR="009776B9" w:rsidRPr="00FC77AC" w:rsidRDefault="009776B9" w:rsidP="0041679B">
      <w:pPr>
        <w:pStyle w:val="ProductList-SectionHeading"/>
        <w:keepNext/>
        <w:spacing w:after="120"/>
        <w:outlineLvl w:val="0"/>
      </w:pPr>
      <w:bookmarkStart w:id="31" w:name="_Toc507768538"/>
      <w:bookmarkStart w:id="32" w:name="_Toc6563787"/>
      <w:bookmarkStart w:id="33" w:name="_Toc26883660"/>
      <w:bookmarkStart w:id="34" w:name="_Toc112504320"/>
      <w:bookmarkStart w:id="35" w:name="GeneralTerms"/>
      <w:r>
        <w:lastRenderedPageBreak/>
        <w:t>Termos Gerais</w:t>
      </w:r>
      <w:bookmarkEnd w:id="31"/>
      <w:bookmarkEnd w:id="32"/>
      <w:bookmarkEnd w:id="33"/>
      <w:bookmarkEnd w:id="34"/>
    </w:p>
    <w:p w14:paraId="4ACEFAAA" w14:textId="0B495828" w:rsidR="009776B9" w:rsidRPr="00FC77AC" w:rsidRDefault="008D5114" w:rsidP="0041679B">
      <w:pPr>
        <w:pStyle w:val="ProductList-SubSubSectionHeading"/>
        <w:keepNext/>
        <w:spacing w:after="120"/>
        <w:outlineLvl w:val="1"/>
      </w:pPr>
      <w:bookmarkStart w:id="36" w:name="_Toc112504321"/>
      <w:bookmarkEnd w:id="35"/>
      <w:r>
        <w:t>Cumprimento das Leis</w:t>
      </w:r>
      <w:bookmarkEnd w:id="36"/>
    </w:p>
    <w:p w14:paraId="509F82CC" w14:textId="1CDB4F5F" w:rsidR="00BA0FD4" w:rsidRPr="00FC77AC" w:rsidRDefault="00BA0FD4" w:rsidP="0041679B">
      <w:pPr>
        <w:pStyle w:val="ProductList-Body"/>
        <w:keepNext/>
        <w:spacing w:after="120"/>
      </w:pPr>
      <w:r>
        <w:t>A Microsoft cumprirá todas as leis e os regulamentos aplicáveis ao fornecimento dos Produtos e Serviços, inclusive a lei de notificação de violação de segurança e os Requisitos de Proteção de Dados. No entanto, a Microsoft não é responsável pelo cumprimento de leis ou regulamentos aplicáveis ao Cliente nem ao setor de atividade do Cliente e que não sejam geralmente aplicáveis a provedores de serviços de tecnologia da informação. A Microsoft não determina se os dados do Cliente incluem informações sujeitas a qualquer lei ou regulamento específico. Todos os Incidentes de Segurança estão sujeitos aos termos de Notificação de Incidentes de Segurança abaixo.</w:t>
      </w:r>
    </w:p>
    <w:p w14:paraId="7D4647F5" w14:textId="74B7325D" w:rsidR="00BA0FD4" w:rsidRPr="00FC77AC" w:rsidRDefault="00BA0FD4" w:rsidP="007829B6">
      <w:pPr>
        <w:pStyle w:val="ProductList-Body"/>
        <w:spacing w:after="120"/>
      </w:pPr>
      <w:r>
        <w:t>O Cliente deverá cumprir todas as leis e regulamentos aplicáveis ao uso dos Produtos e Serviços, inclusive leis relacionadas a dados biométricos, confidencialidade das comunicações e Requisitos de Proteção de Dados. O Cliente é responsável por determinar se os Produtos e Serviços são apropriados para armazenamento e processamento de informações sujeitas a qualquer lei ou regulamento específico e por usar os Serviços Profissionais de maneira consistente com as obrigações legais e normativas. O Cliente é responsável por responder a qualquer solicitação de um terceiro sobre o uso que o Cliente faz dos Produtos e Serviços, como uma solicitação para retirar conteúdo de acordo com a Digital Millennium Copyright Act (Lei dos Direitos Autorais Digitais do Milênio) dos Estados Unidos ou outras leis aplicáveis.</w:t>
      </w:r>
    </w:p>
    <w:p w14:paraId="34A96171" w14:textId="77777777" w:rsidR="00DD6D76" w:rsidRPr="00FC77AC" w:rsidRDefault="00DD6D76" w:rsidP="00DD6D76">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_Toc112504322"/>
      <w:bookmarkStart w:id="42" w:name="DatProtectionTerms"/>
      <w:r>
        <w:t>Termos de Proteção de Dados</w:t>
      </w:r>
      <w:bookmarkEnd w:id="37"/>
      <w:bookmarkEnd w:id="38"/>
      <w:bookmarkEnd w:id="39"/>
      <w:bookmarkEnd w:id="40"/>
      <w:bookmarkEnd w:id="41"/>
    </w:p>
    <w:bookmarkEnd w:id="42"/>
    <w:p w14:paraId="610BEF1C" w14:textId="3BECDAD5" w:rsidR="00DD6D76" w:rsidRPr="00FC77AC" w:rsidRDefault="00DD6D76" w:rsidP="00DD6D76">
      <w:pPr>
        <w:pStyle w:val="ProductList-Body"/>
        <w:spacing w:after="120"/>
      </w:pPr>
      <w:r>
        <w:t>Esta seção do DPA inclui as seguintes subseções: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Escopo</w:t>
      </w:r>
    </w:p>
    <w:p w14:paraId="40503B6A" w14:textId="77777777" w:rsidR="00DD6D76" w:rsidRPr="00FC77AC" w:rsidRDefault="00DD6D76" w:rsidP="00DD6D76">
      <w:pPr>
        <w:pStyle w:val="ProductList-Body"/>
        <w:numPr>
          <w:ilvl w:val="0"/>
          <w:numId w:val="5"/>
        </w:numPr>
      </w:pPr>
      <w:r>
        <w:t>Natureza do Processamento de Dados; Propriedade</w:t>
      </w:r>
    </w:p>
    <w:p w14:paraId="610419A9" w14:textId="77777777" w:rsidR="00DD6D76" w:rsidRPr="00FC77AC" w:rsidRDefault="00DD6D76" w:rsidP="00DD6D76">
      <w:pPr>
        <w:pStyle w:val="ProductList-Body"/>
        <w:numPr>
          <w:ilvl w:val="0"/>
          <w:numId w:val="5"/>
        </w:numPr>
      </w:pPr>
      <w:r>
        <w:t>Divulgação de Dados Processados</w:t>
      </w:r>
    </w:p>
    <w:p w14:paraId="75596586" w14:textId="77777777" w:rsidR="00DD6D76" w:rsidRPr="00FC77AC" w:rsidRDefault="00DD6D76" w:rsidP="00DD6D76">
      <w:pPr>
        <w:pStyle w:val="ProductList-Body"/>
        <w:numPr>
          <w:ilvl w:val="0"/>
          <w:numId w:val="5"/>
        </w:numPr>
      </w:pPr>
      <w:r>
        <w:t>Processamento de Dados Pessoais; GDPR</w:t>
      </w:r>
    </w:p>
    <w:p w14:paraId="0198AC8F" w14:textId="77777777" w:rsidR="00DD6D76" w:rsidRPr="00FC77AC" w:rsidRDefault="00DD6D76" w:rsidP="00DD6D76">
      <w:pPr>
        <w:pStyle w:val="ProductList-Body"/>
        <w:numPr>
          <w:ilvl w:val="0"/>
          <w:numId w:val="5"/>
        </w:numPr>
      </w:pPr>
      <w:r>
        <w:t>Segurança de Dados</w:t>
      </w:r>
    </w:p>
    <w:p w14:paraId="5920AC8F" w14:textId="77777777" w:rsidR="00DD6D76" w:rsidRPr="00FC77AC" w:rsidRDefault="00DD6D76" w:rsidP="00DD6D76">
      <w:pPr>
        <w:pStyle w:val="ProductList-Body"/>
        <w:numPr>
          <w:ilvl w:val="0"/>
          <w:numId w:val="5"/>
        </w:numPr>
      </w:pPr>
      <w:r>
        <w:t>Notificação de Incidentes de Segurança</w:t>
      </w:r>
    </w:p>
    <w:p w14:paraId="5588D625" w14:textId="77777777" w:rsidR="00DD6D76" w:rsidRPr="00FC77AC" w:rsidRDefault="00DD6D76" w:rsidP="00DD6D76">
      <w:pPr>
        <w:pStyle w:val="ProductList-Body"/>
        <w:numPr>
          <w:ilvl w:val="0"/>
          <w:numId w:val="5"/>
        </w:numPr>
      </w:pPr>
      <w:r>
        <w:t>Localização e Transferência de Dados</w:t>
      </w:r>
    </w:p>
    <w:p w14:paraId="7D8C39D5" w14:textId="77777777" w:rsidR="00DD6D76" w:rsidRPr="00FC77AC" w:rsidRDefault="00DD6D76" w:rsidP="00DD6D76">
      <w:pPr>
        <w:pStyle w:val="ProductList-Body"/>
        <w:numPr>
          <w:ilvl w:val="0"/>
          <w:numId w:val="5"/>
        </w:numPr>
      </w:pPr>
      <w:r>
        <w:t>Retenção e Exclusão de Dados</w:t>
      </w:r>
    </w:p>
    <w:p w14:paraId="07938BE8" w14:textId="77777777" w:rsidR="00DD6D76" w:rsidRPr="00FC77AC" w:rsidRDefault="00DD6D76" w:rsidP="00DD6D76">
      <w:pPr>
        <w:pStyle w:val="ProductList-Body"/>
        <w:numPr>
          <w:ilvl w:val="0"/>
          <w:numId w:val="5"/>
        </w:numPr>
      </w:pPr>
      <w:r>
        <w:t>Compromisso de Confidencialidade do Processador</w:t>
      </w:r>
    </w:p>
    <w:p w14:paraId="426AE992" w14:textId="681B8EC4" w:rsidR="00DD6D76" w:rsidRPr="00FC77AC" w:rsidRDefault="00DD6D76" w:rsidP="00DD6D76">
      <w:pPr>
        <w:pStyle w:val="ProductList-Body"/>
        <w:numPr>
          <w:ilvl w:val="0"/>
          <w:numId w:val="5"/>
        </w:numPr>
      </w:pPr>
      <w:r>
        <w:t>Notificações e Controles sobre o uso de Subprocessadores</w:t>
      </w:r>
    </w:p>
    <w:p w14:paraId="1A8F58EA" w14:textId="77777777" w:rsidR="00DD6D76" w:rsidRPr="00FC77AC" w:rsidRDefault="00DD6D76" w:rsidP="00DD6D76">
      <w:pPr>
        <w:pStyle w:val="ProductList-Body"/>
        <w:numPr>
          <w:ilvl w:val="0"/>
          <w:numId w:val="5"/>
        </w:numPr>
      </w:pPr>
      <w:r>
        <w:t>Instituições Educacionais</w:t>
      </w:r>
    </w:p>
    <w:p w14:paraId="0852B871" w14:textId="77777777" w:rsidR="00DD6D76" w:rsidRPr="00FC77AC" w:rsidRDefault="00DD6D76" w:rsidP="00DD6D76">
      <w:pPr>
        <w:pStyle w:val="ProductList-Body"/>
        <w:numPr>
          <w:ilvl w:val="0"/>
          <w:numId w:val="5"/>
        </w:numPr>
      </w:pPr>
      <w:r>
        <w:t>Contrato do Cliente do CJIS</w:t>
      </w:r>
    </w:p>
    <w:p w14:paraId="687A79B3" w14:textId="77777777" w:rsidR="00DD6D76" w:rsidRPr="00FC77AC" w:rsidRDefault="00DD6D76" w:rsidP="00DD6D76">
      <w:pPr>
        <w:pStyle w:val="ProductList-Body"/>
        <w:numPr>
          <w:ilvl w:val="0"/>
          <w:numId w:val="5"/>
        </w:numPr>
      </w:pPr>
      <w:r>
        <w:t>Parceiro Comercial HIPPA</w:t>
      </w:r>
    </w:p>
    <w:p w14:paraId="3D9BC023" w14:textId="0440E78C" w:rsidR="00DD6D76" w:rsidRPr="00FC77AC" w:rsidRDefault="00DD6D76" w:rsidP="00DD6D76">
      <w:pPr>
        <w:pStyle w:val="ProductList-Body"/>
        <w:numPr>
          <w:ilvl w:val="0"/>
          <w:numId w:val="5"/>
        </w:numPr>
      </w:pPr>
      <w:r>
        <w:t xml:space="preserve">California Consumer Privacy Act (Lei de Privacidade do Consumidor da Califórnia, CCPA) </w:t>
      </w:r>
    </w:p>
    <w:p w14:paraId="1B26DF13" w14:textId="77777777" w:rsidR="00DD6D76" w:rsidRPr="00FC77AC" w:rsidRDefault="00DD6D76" w:rsidP="00DD6D76">
      <w:pPr>
        <w:pStyle w:val="ProductList-Body"/>
        <w:numPr>
          <w:ilvl w:val="0"/>
          <w:numId w:val="5"/>
        </w:numPr>
      </w:pPr>
      <w:r>
        <w:t>Dados Biométricos</w:t>
      </w:r>
    </w:p>
    <w:p w14:paraId="406ABF0E" w14:textId="33BA9C1F" w:rsidR="002E2EC1" w:rsidRPr="00FC77AC" w:rsidRDefault="002E2EC1" w:rsidP="00DD6D76">
      <w:pPr>
        <w:pStyle w:val="ProductList-Body"/>
        <w:numPr>
          <w:ilvl w:val="0"/>
          <w:numId w:val="5"/>
        </w:numPr>
      </w:pPr>
      <w:r>
        <w:t>Serviços Profissionais Complementares</w:t>
      </w:r>
    </w:p>
    <w:p w14:paraId="3D48A602" w14:textId="77777777" w:rsidR="00DD6D76" w:rsidRPr="00FC77AC" w:rsidRDefault="00DD6D76" w:rsidP="00DD6D76">
      <w:pPr>
        <w:pStyle w:val="ProductList-Body"/>
        <w:numPr>
          <w:ilvl w:val="0"/>
          <w:numId w:val="5"/>
        </w:numPr>
      </w:pPr>
      <w:r>
        <w:t>Como Entrar em Contato com a Microsoft</w:t>
      </w:r>
    </w:p>
    <w:p w14:paraId="09D2EA5B" w14:textId="7B7561F9" w:rsidR="00DD6D76" w:rsidRPr="00FC77AC" w:rsidRDefault="00DD6D76" w:rsidP="00DD6D76">
      <w:pPr>
        <w:pStyle w:val="ProductList-Body"/>
        <w:numPr>
          <w:ilvl w:val="0"/>
          <w:numId w:val="5"/>
        </w:numPr>
      </w:pPr>
      <w:r>
        <w:t>Apêndice A – Medidas de Segurança</w:t>
      </w:r>
    </w:p>
    <w:p w14:paraId="7379A383" w14:textId="77777777" w:rsidR="00E3608A" w:rsidRPr="00FC77AC" w:rsidRDefault="00E3608A" w:rsidP="00E3608A">
      <w:pPr>
        <w:pStyle w:val="ProductList-Body"/>
        <w:numPr>
          <w:ilvl w:val="0"/>
          <w:numId w:val="5"/>
        </w:numPr>
      </w:pPr>
      <w:r>
        <w:t>Apêndice B - Titulares dos Dados e Categorias de Dados Pessoais</w:t>
      </w:r>
    </w:p>
    <w:p w14:paraId="4F3F3E86" w14:textId="3B4E27C1" w:rsidR="007B2B15" w:rsidRPr="00FC77AC" w:rsidRDefault="00E3608A">
      <w:pPr>
        <w:pStyle w:val="ProductList-Body"/>
        <w:numPr>
          <w:ilvl w:val="0"/>
          <w:numId w:val="5"/>
        </w:numPr>
      </w:pPr>
      <w:r>
        <w:t>Apêndice C - Adendo de Proteções Adicionais.</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112504323"/>
      <w:r>
        <w:t>Escopo</w:t>
      </w:r>
      <w:bookmarkEnd w:id="43"/>
      <w:bookmarkEnd w:id="44"/>
      <w:bookmarkEnd w:id="45"/>
      <w:bookmarkEnd w:id="46"/>
      <w:bookmarkEnd w:id="47"/>
      <w:bookmarkEnd w:id="48"/>
      <w:bookmarkEnd w:id="49"/>
    </w:p>
    <w:p w14:paraId="210C3D41" w14:textId="230A7269" w:rsidR="00E122BB" w:rsidRPr="00FC77AC" w:rsidRDefault="00DD6D76" w:rsidP="007829B6">
      <w:pPr>
        <w:pStyle w:val="ProductList-Body"/>
        <w:spacing w:after="120"/>
      </w:pPr>
      <w:r>
        <w:t>Os Termos do DPA se aplicam a todos os Produtos e Serviços, exceto conforme descrito nesta seção.</w:t>
      </w:r>
      <w:r w:rsidR="00E5742F">
        <w:t xml:space="preserve"> </w:t>
      </w:r>
    </w:p>
    <w:p w14:paraId="26D51E2B" w14:textId="4C4C0559" w:rsidR="006931FB" w:rsidRPr="00FC77AC" w:rsidRDefault="0089176C" w:rsidP="007829B6">
      <w:pPr>
        <w:pStyle w:val="ProductList-Body"/>
        <w:spacing w:after="120"/>
      </w:pPr>
      <w:r>
        <w:t xml:space="preserve">Os Termos do DPA não se aplicam a quaisquer Produtos especificamente identificados como excluídos, ou na medida em que foram identificados como excluídos, nos Termos do Produto, que são regidos pelos termos de privacidade e segurança nos termos específicos do Produto aplicáveis. </w:t>
      </w:r>
    </w:p>
    <w:p w14:paraId="68A4C943" w14:textId="4B000A84" w:rsidR="00CC3CFE" w:rsidRPr="00FC77AC" w:rsidRDefault="00CC3CFE" w:rsidP="00CC3CFE">
      <w:pPr>
        <w:pStyle w:val="ProductList-Body"/>
        <w:spacing w:after="120"/>
      </w:pPr>
      <w:r>
        <w:t>Para fins de esclarecimento, os Termos do DPA se aplicam apenas ao processamento de dados em ambientes controlados pela Microsoft e seus subprocessadores. Isso inclui dados enviados à Microsoft por Produtos e Serviços, mas não inclui dados que permanecem nas instalações do Cliente ou em quaisquer ambientes operacionais de terceiros selecionados pelo Cliente.</w:t>
      </w:r>
    </w:p>
    <w:p w14:paraId="6A03C276" w14:textId="3188CF90" w:rsidR="00024B65" w:rsidRPr="00FC77AC" w:rsidRDefault="00024B65" w:rsidP="00024B65">
      <w:pPr>
        <w:pStyle w:val="ProductList-Body"/>
        <w:spacing w:after="120"/>
      </w:pPr>
      <w:r>
        <w:t xml:space="preserve">Para os Serviços Profissionais Complementares, a Microsoft assume apenas os compromissos na seção Serviços Profissionais Complementares abaixo. </w:t>
      </w:r>
    </w:p>
    <w:p w14:paraId="1EF8D185" w14:textId="7E4F8D99" w:rsidR="00E122BB" w:rsidRPr="00FC77AC" w:rsidRDefault="00C85435" w:rsidP="007829B6">
      <w:pPr>
        <w:pStyle w:val="ProductList-Body"/>
        <w:spacing w:after="120"/>
      </w:pPr>
      <w:r>
        <w:t>As visualizações podem empregar menos medidas de privacidade e segurança ou medidas diferentes das geralmente presentes nos Produtos e Serviços. A menos que indicado de outra forma, o Cliente não deve usar as Visualizações para processar Dados Pessoais nem outros dados sujeitos a requisitos de conformidade legais ou normativos. Para os Produtos, os seguintes termos deste DPA não se aplicam a Visualizações: Processamento de Dados Pessoais; GDPR, Segurança de Dados e Parceiro Comercial HIPAA. Para os Serviços Profissionais, as ofertas designadas como Visualizações ou Versão Limitada atendem apenas aos termos dos Serviços Profissionais Complementares.</w:t>
      </w:r>
    </w:p>
    <w:p w14:paraId="65EC085A" w14:textId="77777777" w:rsidR="00C85435" w:rsidRPr="00FC77AC" w:rsidRDefault="00C85435" w:rsidP="00C35BD5">
      <w:pPr>
        <w:pStyle w:val="ProductList-SubSubSectionHeading"/>
        <w:keepNext/>
        <w:spacing w:after="120"/>
        <w:outlineLvl w:val="1"/>
      </w:pPr>
      <w:bookmarkStart w:id="50" w:name="_Toc26972837"/>
      <w:bookmarkStart w:id="51" w:name="_Toc112504324"/>
      <w:bookmarkStart w:id="52" w:name="_Toc507768552"/>
      <w:bookmarkStart w:id="53" w:name="_Toc8395012"/>
      <w:r>
        <w:t xml:space="preserve">Natureza do Processamento de </w:t>
      </w:r>
      <w:bookmarkStart w:id="54" w:name="_Toc6563799"/>
      <w:bookmarkStart w:id="55" w:name="_Toc21617017"/>
      <w:r>
        <w:t>Dados; Propriedade</w:t>
      </w:r>
      <w:bookmarkEnd w:id="50"/>
      <w:bookmarkEnd w:id="51"/>
      <w:bookmarkEnd w:id="54"/>
      <w:bookmarkEnd w:id="55"/>
    </w:p>
    <w:p w14:paraId="2B094C3F" w14:textId="54857FFF" w:rsidR="00C85435" w:rsidRPr="00FC77AC" w:rsidRDefault="0072723D" w:rsidP="007829B6">
      <w:pPr>
        <w:pStyle w:val="ProductList-Body"/>
        <w:spacing w:after="120"/>
      </w:pPr>
      <w:r>
        <w:t>A Microsoft usará e, de outro modo, processará os Dados do Cliente, os Dados de Serviços Profissionais e os Dados Pessoais somente de acordo com as descrições e sujeitos às limitações fornecidas abaixo (a) para fornecer ao Cliente os Produtos e Serviços de acordo com as instruções documentadas do Cliente e (b) para operações de negócios incidentes para fornecer os Produtos e Serviços ao Cliente. Assim como ocorre entre as partes, o Cliente detém todo o direito, a titularidade do direito e o interesse nos Dados do Cliente e nos Dados de Serviços Profissionais. A Microsoft não adquire nenhum direito quanto aos Dados do Cliente ou Dados de Serviços Profissionais que não sejam os concedidos a ela pelo Cliente nesta seção. Este parágrafo não afeta os direitos da Microsoft com relação ao software nem aos serviços licenciados por ela para o Cliente.</w:t>
      </w:r>
    </w:p>
    <w:p w14:paraId="5102CA20" w14:textId="77777777" w:rsidR="00590619" w:rsidRPr="00FC77AC" w:rsidRDefault="00590619" w:rsidP="00590619"/>
    <w:p w14:paraId="72E1A929" w14:textId="56238FF1" w:rsidR="00590619" w:rsidRPr="00FC77AC" w:rsidRDefault="00590619" w:rsidP="00590619">
      <w:pPr>
        <w:tabs>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6" w:name="_Toc6563800"/>
      <w:bookmarkStart w:id="57" w:name="_Toc26972838"/>
      <w:bookmarkStart w:id="58" w:name="_Toc13858350"/>
      <w:bookmarkStart w:id="59" w:name="_Toc21617018"/>
      <w:r>
        <w:rPr>
          <w:b/>
          <w:color w:val="0072C6"/>
        </w:rPr>
        <w:t xml:space="preserve">Processamento para Fornecer ao Cliente </w:t>
      </w:r>
      <w:bookmarkEnd w:id="56"/>
      <w:r>
        <w:rPr>
          <w:b/>
          <w:color w:val="0072C6"/>
        </w:rPr>
        <w:t xml:space="preserve">os </w:t>
      </w:r>
      <w:bookmarkEnd w:id="57"/>
      <w:r>
        <w:rPr>
          <w:b/>
          <w:color w:val="0072C6"/>
        </w:rPr>
        <w:t>Produtos e Serviços</w:t>
      </w:r>
    </w:p>
    <w:p w14:paraId="38AED162" w14:textId="424DE6A3" w:rsidR="00C85435" w:rsidRPr="00FC77AC" w:rsidRDefault="00C85435" w:rsidP="00C35BD5">
      <w:pPr>
        <w:pStyle w:val="ProductList-Body"/>
        <w:keepNext/>
        <w:ind w:left="158"/>
      </w:pPr>
      <w:r>
        <w:rPr>
          <w:rFonts w:ascii="Calibri" w:eastAsia="Calibri" w:hAnsi="Calibri" w:cs="Arial"/>
        </w:rPr>
        <w:t xml:space="preserve">Para os fins deste DPA, “fornecer” um Produto consiste em: </w:t>
      </w:r>
    </w:p>
    <w:p w14:paraId="25A37013" w14:textId="0CA6C8B0" w:rsidR="00C85435" w:rsidRPr="00FC77AC" w:rsidRDefault="00C85435" w:rsidP="00F1097D">
      <w:pPr>
        <w:pStyle w:val="ProductList-Body"/>
        <w:numPr>
          <w:ilvl w:val="0"/>
          <w:numId w:val="7"/>
        </w:numPr>
      </w:pPr>
      <w:r>
        <w:rPr>
          <w:rFonts w:ascii="Calibri" w:eastAsia="Calibri" w:hAnsi="Calibri" w:cs="Arial"/>
        </w:rPr>
        <w:t>Fornecer recursos funcionais conforme licenciados, configurados</w:t>
      </w:r>
      <w:r>
        <w:rPr>
          <w:rFonts w:ascii="Calibri" w:hAnsi="Calibri"/>
        </w:rPr>
        <w:t xml:space="preserve"> e </w:t>
      </w:r>
      <w:bookmarkEnd w:id="58"/>
      <w:bookmarkEnd w:id="59"/>
      <w:r>
        <w:rPr>
          <w:rFonts w:ascii="Calibri" w:eastAsia="Calibri" w:hAnsi="Calibri" w:cs="Arial"/>
        </w:rPr>
        <w:t xml:space="preserve">usados pelo Cliente e seus usuários, inclusive proporcionar experiências personalizadas aos usuários;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Solução de problemas (prevenir, detectar e reparar problemas) e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Manter os Produtos atualizados e em boas condições de desempenho e melhorar a </w:t>
      </w:r>
      <w:r>
        <w:t>produtividade do usuário,</w:t>
      </w:r>
      <w:r>
        <w:rPr>
          <w:rFonts w:ascii="Calibri" w:eastAsia="Calibri" w:hAnsi="Calibri" w:cs="Arial"/>
        </w:rPr>
        <w:t xml:space="preserve"> confiabilidade, eficácia, qualidade e segurança.</w:t>
      </w:r>
    </w:p>
    <w:p w14:paraId="67A5736F" w14:textId="7DC67A47" w:rsidR="004D3218" w:rsidRPr="00FC77AC" w:rsidRDefault="004D3218" w:rsidP="004D3218">
      <w:pPr>
        <w:pStyle w:val="ProductList-Body"/>
        <w:ind w:left="158"/>
      </w:pPr>
      <w:r>
        <w:rPr>
          <w:rFonts w:ascii="Calibri" w:eastAsia="Calibri" w:hAnsi="Calibri" w:cs="Arial"/>
        </w:rPr>
        <w:t xml:space="preserve">Para os fins deste DPA, “fornecer” Serviços Profissionais consistem em: </w:t>
      </w:r>
    </w:p>
    <w:p w14:paraId="514A4E40" w14:textId="50E94375" w:rsidR="004D3218" w:rsidRPr="00FC77AC" w:rsidRDefault="004D3218" w:rsidP="004D3218">
      <w:pPr>
        <w:pStyle w:val="ProductList-Body"/>
        <w:numPr>
          <w:ilvl w:val="0"/>
          <w:numId w:val="7"/>
        </w:numPr>
        <w:tabs>
          <w:tab w:val="clear" w:pos="158"/>
        </w:tabs>
        <w:ind w:left="922"/>
      </w:pPr>
      <w:r>
        <w:t xml:space="preserve">Fornecer os Serviços Profissionais, incluindo fornecer suporte técnico, planejamento profissional, consultoria, orientações, migração de dados, implantação e serviços de desenvolvimento de soluções/software. </w:t>
      </w:r>
    </w:p>
    <w:p w14:paraId="2AA8E0CB" w14:textId="1BB19ACB" w:rsidR="004D3218" w:rsidRPr="00FC77AC" w:rsidRDefault="004D3218" w:rsidP="004D3218">
      <w:pPr>
        <w:pStyle w:val="ProductList-Body"/>
        <w:numPr>
          <w:ilvl w:val="0"/>
          <w:numId w:val="7"/>
        </w:numPr>
        <w:tabs>
          <w:tab w:val="clear" w:pos="158"/>
        </w:tabs>
        <w:ind w:left="922"/>
      </w:pPr>
      <w:r>
        <w:t>Resolução de problemas (prevenção, detecção, investigação, mitigação e reparação de problemas, incluindo Incidentes de Segurança e problemas identificados nos Serviços Profissionais ou Produtos relevantes durante a entrega de Serviços Profissionais) e</w:t>
      </w:r>
    </w:p>
    <w:p w14:paraId="7EB6FDAD" w14:textId="5B47DB62" w:rsidR="004D3218" w:rsidRPr="00FC77AC" w:rsidRDefault="007821BC" w:rsidP="002369FF">
      <w:pPr>
        <w:pStyle w:val="ProductList-Body"/>
        <w:numPr>
          <w:ilvl w:val="0"/>
          <w:numId w:val="7"/>
        </w:numPr>
        <w:tabs>
          <w:tab w:val="clear" w:pos="158"/>
        </w:tabs>
        <w:spacing w:after="120"/>
        <w:ind w:left="922"/>
      </w:pPr>
      <w:r>
        <w:t>Melhorar a entrega, eficácia, qualidade e segurança dos Serviços Profissionais e dos Produtos subjacentes com base nos problemas identificados durante o fornecimento dos Serviços Profissionais, incluindo a correção de defeitos de software e de outra forma mantendo os Produtos e Serviços atualizados e com boas condições de desempenho.</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Em cada caso, o fornecimento dos Produtos e Serviços é realizado tendo em vista as obrigações de segurança segundo os Requisitos de Proteção de Dados.</w:t>
      </w:r>
    </w:p>
    <w:p w14:paraId="0AA7F597" w14:textId="0BDD95A1" w:rsidR="00C85435" w:rsidRPr="00FC77AC" w:rsidRDefault="00C85435" w:rsidP="007829B6">
      <w:pPr>
        <w:pStyle w:val="ProductList-Body"/>
        <w:spacing w:after="120"/>
        <w:ind w:left="158"/>
      </w:pPr>
      <w:r>
        <w:t>Ao fornecer Produtos e Serviços, a Microsoft não usará nem processará de outra forma Dados do Cliente, Dados de Serviços Profissionais nem Dados Pessoais para: (a) criar o perfil dos usuários, (b) fazer publicidade ou para fins comerciais semelhantes ou (c) realizar pesquisa de mercado com o objetivo de criar novos recursos, serviços ou produtos ou para qualquer outro fim, a menos que esse uso ou processamento esteja de acordo com as instruções documentadas do Cliente.</w:t>
      </w:r>
    </w:p>
    <w:p w14:paraId="5FD69C26" w14:textId="7F31EB49" w:rsidR="00C85435" w:rsidRPr="00FC77AC" w:rsidRDefault="009B4B87" w:rsidP="00C35BD5">
      <w:pPr>
        <w:pStyle w:val="ProductList-Body"/>
        <w:keepNext/>
        <w:spacing w:after="120"/>
        <w:ind w:left="187" w:hanging="7"/>
        <w:outlineLvl w:val="2"/>
      </w:pPr>
      <w:r>
        <w:rPr>
          <w:b/>
          <w:color w:val="0072C6"/>
        </w:rPr>
        <w:t>Processamento para Incidente de Operações de Negócios para Fornecimento de Produtos e Serviços ao Cliente</w:t>
      </w:r>
    </w:p>
    <w:p w14:paraId="2391517E" w14:textId="77777777" w:rsidR="001B2BF8" w:rsidRPr="00FC77AC" w:rsidRDefault="001B2BF8" w:rsidP="001B2BF8">
      <w:pPr>
        <w:pStyle w:val="ProductList-Body"/>
        <w:spacing w:after="120"/>
        <w:ind w:left="158"/>
      </w:pPr>
      <w:r>
        <w:t>Para os fins deste DPA, “operações de negócios” significa as operações de processamento autorizadas pelo cliente nesta seção.</w:t>
      </w:r>
    </w:p>
    <w:p w14:paraId="4FFF8475" w14:textId="057BE43F" w:rsidR="001B2BF8" w:rsidRPr="00FC77AC" w:rsidRDefault="001B2BF8" w:rsidP="00B66EEB">
      <w:pPr>
        <w:pStyle w:val="ProductList-Body"/>
        <w:spacing w:line="216" w:lineRule="auto"/>
        <w:ind w:left="158"/>
      </w:pPr>
      <w:r>
        <w:t>O cliente autoriza a Microsoft:</w:t>
      </w:r>
    </w:p>
    <w:p w14:paraId="18895A51" w14:textId="2F19B250" w:rsidR="001B2BF8" w:rsidRPr="00FC77AC" w:rsidRDefault="001B2BF8" w:rsidP="00A607E8">
      <w:pPr>
        <w:pStyle w:val="ProductList-Body"/>
        <w:numPr>
          <w:ilvl w:val="0"/>
          <w:numId w:val="18"/>
        </w:numPr>
        <w:ind w:left="900" w:hanging="180"/>
      </w:pPr>
      <w:r>
        <w:t>a criar dados estatísticos e não pessoais agregados a partir de dados contendo identificadores sob pseudônimo (como logs de uso contendo identificadores únicos e sob pseudônimo) e</w:t>
      </w:r>
    </w:p>
    <w:p w14:paraId="685A98C9" w14:textId="39E0687F" w:rsidR="001B2BF8" w:rsidRPr="00FC77AC" w:rsidRDefault="001B2BF8" w:rsidP="00A607E8">
      <w:pPr>
        <w:pStyle w:val="ProductList-Body"/>
        <w:numPr>
          <w:ilvl w:val="0"/>
          <w:numId w:val="18"/>
        </w:numPr>
        <w:spacing w:after="120"/>
        <w:ind w:left="907" w:hanging="187"/>
      </w:pPr>
      <w:r>
        <w:t>a calcular estatísticas relacionadas a Dados do Cliente ou Dados de Serviços Profissionais</w:t>
      </w:r>
    </w:p>
    <w:p w14:paraId="76A43C2B" w14:textId="5C4A0C4A" w:rsidR="001B2BF8" w:rsidRPr="00FC77AC" w:rsidRDefault="001B2BF8" w:rsidP="00A607E8">
      <w:pPr>
        <w:pStyle w:val="ProductList-Body"/>
        <w:spacing w:after="120"/>
        <w:ind w:left="158"/>
      </w:pPr>
      <w:r>
        <w:t>em cada caso, sem acessar ou analisar o conteúdo dos Dados do Cliente ou Dados dos Serviços Profissionais e limitado a atingir os propósitos abaixo, cada um como incidente ao fornecer os Produtos e Serviços ao Cliente.</w:t>
      </w:r>
    </w:p>
    <w:p w14:paraId="15A54612" w14:textId="77777777" w:rsidR="001B2BF8" w:rsidRPr="00FC77AC" w:rsidRDefault="001B2BF8" w:rsidP="00A607E8">
      <w:pPr>
        <w:pStyle w:val="ProductList-Body"/>
        <w:ind w:left="158"/>
      </w:pPr>
      <w:r>
        <w:t>Esses propósitos são:</w:t>
      </w:r>
    </w:p>
    <w:p w14:paraId="007DCB2D" w14:textId="1ABEB992" w:rsidR="001B2BF8" w:rsidRPr="00FC77AC" w:rsidRDefault="001B2BF8" w:rsidP="003A6BB6">
      <w:pPr>
        <w:pStyle w:val="ProductList-Body"/>
        <w:numPr>
          <w:ilvl w:val="0"/>
          <w:numId w:val="7"/>
        </w:numPr>
        <w:tabs>
          <w:tab w:val="clear" w:pos="158"/>
        </w:tabs>
        <w:ind w:left="922"/>
      </w:pPr>
      <w:r>
        <w:t xml:space="preserve">gerenciamento de conta e cobrança; </w:t>
      </w:r>
    </w:p>
    <w:p w14:paraId="74E83E62" w14:textId="21E1E5D7" w:rsidR="001B2BF8" w:rsidRPr="00FC77AC" w:rsidRDefault="001B2BF8" w:rsidP="003A6BB6">
      <w:pPr>
        <w:pStyle w:val="ProductList-Body"/>
        <w:numPr>
          <w:ilvl w:val="0"/>
          <w:numId w:val="7"/>
        </w:numPr>
        <w:tabs>
          <w:tab w:val="clear" w:pos="158"/>
        </w:tabs>
        <w:ind w:left="922"/>
      </w:pPr>
      <w:r>
        <w:t xml:space="preserve">remuneração, como cálculo de comissões de funcionários e incentivos de parceiros; </w:t>
      </w:r>
    </w:p>
    <w:p w14:paraId="0CAE28EC" w14:textId="6356942F" w:rsidR="001B2BF8" w:rsidRPr="00FC77AC" w:rsidRDefault="001B2BF8" w:rsidP="003A6BB6">
      <w:pPr>
        <w:pStyle w:val="ProductList-Body"/>
        <w:numPr>
          <w:ilvl w:val="0"/>
          <w:numId w:val="7"/>
        </w:numPr>
        <w:tabs>
          <w:tab w:val="clear" w:pos="158"/>
        </w:tabs>
        <w:ind w:left="922"/>
      </w:pPr>
      <w:r>
        <w:t xml:space="preserve">relatórios internos e modelagem de negócios, como previsão, receita, planejamento de capacidade e estratégia de produtos e </w:t>
      </w:r>
    </w:p>
    <w:p w14:paraId="4616BAD0" w14:textId="3DBED0D1" w:rsidR="00DD6D76" w:rsidRPr="00FC77AC" w:rsidRDefault="001B2BF8" w:rsidP="00A607E8">
      <w:pPr>
        <w:pStyle w:val="ProductList-Body"/>
        <w:numPr>
          <w:ilvl w:val="0"/>
          <w:numId w:val="7"/>
        </w:numPr>
        <w:tabs>
          <w:tab w:val="clear" w:pos="158"/>
        </w:tabs>
        <w:spacing w:after="120"/>
        <w:ind w:left="922"/>
      </w:pPr>
      <w:r>
        <w:t>relatórios financeiros.</w:t>
      </w:r>
    </w:p>
    <w:p w14:paraId="71098C16" w14:textId="7D8D0D57" w:rsidR="00DD6D76" w:rsidRPr="00FC77AC" w:rsidRDefault="00BE5700" w:rsidP="00A607E8">
      <w:pPr>
        <w:pStyle w:val="ProductList-Body"/>
        <w:spacing w:after="120"/>
        <w:ind w:left="158"/>
      </w:pPr>
      <w:bookmarkStart w:id="60" w:name="_Hlk24466161"/>
      <w:r>
        <w:t xml:space="preserve">Ao processar essas operações de negócios, a Microsoft aplicará os princípios de minimização de dados e não usará nem processará os Dados do Cliente, Dados de Serviços Profissionais ou Dados Pessoais para: (a) criar perfis de usuários, (b) publicidade ou fins comerciais semelhantes ou (c) qualquer outra finalidade, que não seja aquela para as finalidades estabelecidas nesta seção. Além disso, como acontece com todo o processamento segundo os termos deste DPA, o processamento para operações de negócios permanece sujeito às obrigações e aos compromissos de confidencialidade da Microsoft previstos na Divulgação de Dados Processados. </w:t>
      </w:r>
      <w:bookmarkEnd w:id="60"/>
    </w:p>
    <w:p w14:paraId="16500F9F" w14:textId="77777777" w:rsidR="00DD6D76" w:rsidRPr="00FC77AC" w:rsidRDefault="00DD6D76" w:rsidP="002A4A50">
      <w:pPr>
        <w:pStyle w:val="ProductList-SubSubSectionHeading"/>
        <w:keepNext/>
        <w:spacing w:after="120"/>
        <w:outlineLvl w:val="1"/>
      </w:pPr>
      <w:bookmarkStart w:id="61" w:name="_Toc507768551"/>
      <w:bookmarkStart w:id="62" w:name="_Toc8395011"/>
      <w:bookmarkStart w:id="63" w:name="_Toc26972840"/>
      <w:bookmarkStart w:id="64" w:name="_Toc42764837"/>
      <w:bookmarkStart w:id="65" w:name="_Toc112504325"/>
      <w:r>
        <w:t>Divulgação de Dados Processados.</w:t>
      </w:r>
      <w:bookmarkEnd w:id="61"/>
      <w:bookmarkEnd w:id="62"/>
      <w:bookmarkEnd w:id="63"/>
      <w:bookmarkEnd w:id="64"/>
      <w:bookmarkEnd w:id="65"/>
    </w:p>
    <w:p w14:paraId="18740255" w14:textId="685813AA" w:rsidR="00DD6D76" w:rsidRPr="00FC77AC" w:rsidRDefault="00DD6D76" w:rsidP="00741E10">
      <w:pPr>
        <w:pStyle w:val="ProductList-Body"/>
        <w:spacing w:after="120"/>
      </w:pPr>
      <w:r>
        <w:t xml:space="preserve">A Microsoft não divulgará nem fornecerá acesso a nenhum Dado Processado, exceto: (1) de acordo com as instruções do Cliente; (2) conforme descrito neste DPA ou (3) conforme exigido por lei. Para os fins desta seção, “Dados Processados” significa: (a) Dados do Cliente; (b) Dados de Serviços Profissionais; (c) Dados Pessoais e (d) quaisquer outros dados processados pela Microsoft em conexão com os Produtos e Serviços que sejam informações confidenciais do Cliente de acordo com o contrato de licença por volume. Todo o processamento de Dados Processados está sujeito à obrigação de confidencialidade da Microsoft de acordo com o contrato de licenciamento por volume. </w:t>
      </w:r>
    </w:p>
    <w:p w14:paraId="65E0CC8E" w14:textId="358A39DE" w:rsidR="00C85435" w:rsidRPr="00FC77AC" w:rsidRDefault="00DD6D76" w:rsidP="00741E10">
      <w:pPr>
        <w:pStyle w:val="ProductList-Body"/>
        <w:spacing w:after="120"/>
      </w:pPr>
      <w:r>
        <w:rPr>
          <w:szCs w:val="18"/>
        </w:rPr>
        <w:t>A Microsoft não divulgará nem fornecerá acesso a nenhum Dado Processado para representantes legais, a menos que exigido por lei. Se o representante legal entrar em contato com a Microsoft com um pedido de Dados Processados, a Microsoft tentará reencaminhá-lo para solicitá-los diretamente ao Cliente. Se for obrigada a divulgar ou fornecer acesso a qualquer Dado Processado aos representantes legais, a Microsoft notificará imediatamente o Cliente e fornecerá uma cópia do pedido, a menos que legalmente proibida de fazê-lo.</w:t>
      </w:r>
    </w:p>
    <w:p w14:paraId="7C14467D" w14:textId="17DEA02F" w:rsidR="00C85435" w:rsidRPr="00FC77AC" w:rsidRDefault="00564FEB" w:rsidP="00741E10">
      <w:pPr>
        <w:pStyle w:val="ProductList-Body"/>
        <w:spacing w:after="120"/>
      </w:pPr>
      <w:r>
        <w:lastRenderedPageBreak/>
        <w:t>A Microsoft apenas divulgará ou fornecerá acesso a quaisquer Dados Processados conforme exigido por lei, desde que as leis e práticas respeitem a essência dos direitos e liberdades fundamentais e não excedam o que é necessário e proporcional em uma sociedade democrática e, conforme aplicável, para proteger um dos objetivos listados no Artigo 23 (1) do GDPR. Mediante o recebimento de qualquer outra solicitação de terceiros por Dados Processados, a Microsoft notificará imediatamente o Cliente, a menos que seja proibida por lei. A Microsoft rejeitará a solicitação a menos que seja obrigada por lei a cumpri-la. Se a solicitação for válida, a Microsoft tentará redirecionar o terceiro para que ele solicite os dados diretamente do Cliente.</w:t>
      </w:r>
    </w:p>
    <w:p w14:paraId="30E1209F" w14:textId="08AFBB94" w:rsidR="00C85435" w:rsidRPr="00FC77AC" w:rsidRDefault="00C85435" w:rsidP="00741E10">
      <w:pPr>
        <w:pStyle w:val="ProductList-Body"/>
        <w:spacing w:after="120"/>
      </w:pPr>
      <w:r>
        <w:t xml:space="preserve">A Microsoft não fornecerá a terceiros: (a) acesso direto, indireto, amplo ou irrestrito aos Dados Processados; (b) chaves de criptografia de plataforma usadas para proteger os Dados Processados ou a capacidade de violar essa criptografia nem (c) acesso aos Dados Processados se a Microsoft estiver ciente de que os dados devam ser usados para fins diferentes dos estabelecidos na solicitação do terceiro. </w:t>
      </w:r>
    </w:p>
    <w:p w14:paraId="47AD4D4D" w14:textId="02DBD694" w:rsidR="00C85435" w:rsidRPr="00FC77AC" w:rsidRDefault="00C85435" w:rsidP="00741E10">
      <w:pPr>
        <w:pStyle w:val="ProductList-Body"/>
        <w:spacing w:after="120"/>
      </w:pPr>
      <w:r>
        <w:t xml:space="preserve">Com base no exposto acima, a Microsoft poderá fornecer ao terceiro as informações de contato básicas do Cliente. </w:t>
      </w:r>
    </w:p>
    <w:p w14:paraId="3DFD853A" w14:textId="77777777" w:rsidR="00C85435" w:rsidRPr="00FC77AC" w:rsidRDefault="00C85435" w:rsidP="00C35BD5">
      <w:pPr>
        <w:pStyle w:val="ProductList-SubSubSectionHeading"/>
        <w:keepNext/>
        <w:spacing w:after="120"/>
        <w:outlineLvl w:val="1"/>
      </w:pPr>
      <w:bookmarkStart w:id="66" w:name="_Toc6563801"/>
      <w:bookmarkStart w:id="67" w:name="_Toc21617019"/>
      <w:bookmarkStart w:id="68" w:name="_Toc26972841"/>
      <w:bookmarkStart w:id="69" w:name="_Toc112504326"/>
      <w:r>
        <w:t>Processamento de Dados Pessoais; GDPR</w:t>
      </w:r>
      <w:bookmarkEnd w:id="52"/>
      <w:bookmarkEnd w:id="53"/>
      <w:bookmarkEnd w:id="66"/>
      <w:bookmarkEnd w:id="67"/>
      <w:bookmarkEnd w:id="68"/>
      <w:bookmarkEnd w:id="69"/>
    </w:p>
    <w:p w14:paraId="41ECCECC" w14:textId="7096F926" w:rsidR="00C85435" w:rsidRPr="00FC77AC" w:rsidRDefault="00C85435" w:rsidP="00741E10">
      <w:pPr>
        <w:pStyle w:val="ProductList-Body"/>
        <w:spacing w:after="120"/>
      </w:pPr>
      <w:bookmarkStart w:id="70" w:name="_Toc489605577"/>
      <w:r>
        <w:t xml:space="preserve">Todos os Dados Pessoais processados pela Microsoft em conexão com o fornecimento dos Produtos e Serviços são obtidos como parte dos (a) Dados do Cliente, (b) Dados de Serviços Profissionais ou (c) dados gerados, derivados ou coletados pela Microsoft, inclusive dados enviados para a Microsoft como resultado do uso de recursos baseados em serviços por parte do Cliente ou obtidos pela Microsoft a partir de um software instalado localmente. Dados Pessoais fornecidos à Microsoft pelo Cliente ou em nome dele por meio do uso do Serviço Online também são Dados do Cliente. Dados Pessoais fornecidos à Microsoft pelo Cliente ou em nome dele por meio do uso dos Serviços Profissionais também são Dados de Serviços Profissionais. Identificadores com pseudônimos podem ser incluídos nos dados processados pela Microsoft em conexão com o fornecimento dos Produtos e também são Dados Pessoais. Todos os Dados Pessoais sob pseudônimo ou não identificados, mas não anônimos, ou Dados Pessoais derivados de Dados Pessoais também são Dados Pessoais. </w:t>
      </w:r>
    </w:p>
    <w:p w14:paraId="34DCD8F3" w14:textId="676DFE38" w:rsidR="00C85435" w:rsidRPr="00FC77AC" w:rsidRDefault="00C85435" w:rsidP="00741E10">
      <w:pPr>
        <w:pStyle w:val="ProductList-Body"/>
        <w:spacing w:after="120"/>
      </w:pPr>
      <w:r>
        <w:t xml:space="preserve">Visto que a Microsoft é processadora ou subprocessadora de Dados Pessoais sujeitos ao GDPR, os Termos do GDPR no </w:t>
      </w:r>
      <w:hyperlink w:anchor="Attachment1" w:history="1">
        <w:r>
          <w:rPr>
            <w:rStyle w:val="Hyperlink"/>
          </w:rPr>
          <w:t>Anexo 1</w:t>
        </w:r>
      </w:hyperlink>
      <w:r>
        <w:t xml:space="preserve"> regem esse processamento e as partes também concordam com os seguintes termos nesta subseção (“Processamento de Dados Pessoais, GDPR”):</w:t>
      </w:r>
    </w:p>
    <w:p w14:paraId="00DB5D5A" w14:textId="77777777" w:rsidR="00C85435" w:rsidRPr="00FC77AC" w:rsidRDefault="00C85435" w:rsidP="002A4A50">
      <w:pPr>
        <w:pStyle w:val="ProductList-Body"/>
        <w:keepNext/>
        <w:spacing w:after="120"/>
        <w:ind w:left="187"/>
        <w:outlineLvl w:val="2"/>
      </w:pPr>
      <w:bookmarkStart w:id="71" w:name="_Toc26972842"/>
      <w:r>
        <w:rPr>
          <w:b/>
          <w:bCs/>
          <w:color w:val="0072C6"/>
        </w:rPr>
        <w:t>Funções e Responsabilidades da Processadora e do Controlador</w:t>
      </w:r>
      <w:bookmarkEnd w:id="71"/>
    </w:p>
    <w:p w14:paraId="56D0DF28" w14:textId="4522A2A5" w:rsidR="00DD6D76" w:rsidRPr="009120A2" w:rsidRDefault="00DD6D76" w:rsidP="00741E10">
      <w:pPr>
        <w:pStyle w:val="ProductList-Body"/>
        <w:spacing w:after="120"/>
        <w:ind w:left="158"/>
        <w:rPr>
          <w:spacing w:val="-2"/>
        </w:rPr>
      </w:pPr>
      <w:bookmarkStart w:id="72" w:name="_Toc26972843"/>
      <w:bookmarkStart w:id="73" w:name="_Toc26972844"/>
      <w:r w:rsidRPr="009120A2">
        <w:rPr>
          <w:spacing w:val="-2"/>
        </w:rPr>
        <w:t xml:space="preserve">O Cliente e a Microsoft concordam que o Cliente seja o controlador dos Dados Pessoais e a Microsoft seja a processadora desses dados, exceto (a) quando o Cliente agir como processador de Dados Pessoais, caso em que a Microsoft será uma subprocessadora ou (b) conforme disposição expressa em contrário nos termos específicos do Produto ou neste DPA. Quando a Microsoft agir como a processadora ou a subprocessadora de Dados Pessoais, ela processará Dados Pessoais somente de acordo com as instruções documentadas do Cliente. O Cliente concorda que seu contrato de licenciamento por volume (incluindo os Termos do DPA e quaisquer atualizações aplicáveis) junto com a documentação do produto e o uso e a configuração de recursos do Cliente nos Produtos são as instruções documentadas finais e completas do Cliente para a Microsoft para o processamento de Dados Pessoais ou documentação de Serviços Profissionais e o uso dos Serviços Profissionais por parte do Cliente. Informações sobre uso e configuração dos Produtos podem ser encontradas em </w:t>
      </w:r>
      <w:bookmarkStart w:id="74" w:name="_Hlk24482203"/>
      <w:r w:rsidRPr="009120A2">
        <w:rPr>
          <w:spacing w:val="-2"/>
        </w:rPr>
        <w:fldChar w:fldCharType="begin"/>
      </w:r>
      <w:r w:rsidRPr="009120A2">
        <w:rPr>
          <w:spacing w:val="-2"/>
        </w:rPr>
        <w:instrText>HYPERLINK "https://docs.microsoft.com"</w:instrText>
      </w:r>
      <w:r w:rsidRPr="009120A2">
        <w:rPr>
          <w:spacing w:val="-2"/>
        </w:rPr>
        <w:fldChar w:fldCharType="separate"/>
      </w:r>
      <w:r w:rsidRPr="009120A2">
        <w:rPr>
          <w:rStyle w:val="Hyperlink"/>
          <w:spacing w:val="-2"/>
        </w:rPr>
        <w:t>https://docs.microsoft.com</w:t>
      </w:r>
      <w:r w:rsidRPr="009120A2">
        <w:rPr>
          <w:spacing w:val="-2"/>
        </w:rPr>
        <w:fldChar w:fldCharType="end"/>
      </w:r>
      <w:r w:rsidRPr="009120A2">
        <w:rPr>
          <w:spacing w:val="-2"/>
        </w:rPr>
        <w:t xml:space="preserve"> </w:t>
      </w:r>
      <w:bookmarkEnd w:id="74"/>
      <w:r w:rsidRPr="009120A2">
        <w:rPr>
          <w:spacing w:val="-2"/>
        </w:rPr>
        <w:t>(ou em um local sucessor) ou outro contrato que incorpore este DPA. Quaisquer instruções adicionais ou alternativas deverão ser acordadas seguindo o processo de alteração do contrato do Cliente. Em qualquer caso em que o GDPR se aplique e o Cliente seja um processador, o Cliente garante à Microsoft que as instruções do Cliente, incluindo o compromisso da Microsoft como processadora ou subprocessadora, foram autorizadas pelo controlador pertinente.</w:t>
      </w:r>
      <w:bookmarkEnd w:id="72"/>
      <w:r w:rsidRPr="009120A2">
        <w:rPr>
          <w:spacing w:val="-2"/>
        </w:rPr>
        <w:t xml:space="preserve"> </w:t>
      </w:r>
    </w:p>
    <w:p w14:paraId="42C83F6C" w14:textId="504FBC35" w:rsidR="00C85435" w:rsidRPr="00FC77AC" w:rsidRDefault="00736AEB" w:rsidP="002A4A50">
      <w:pPr>
        <w:pStyle w:val="ProductList-Body"/>
        <w:spacing w:after="120"/>
        <w:ind w:left="158"/>
      </w:pPr>
      <w:r>
        <w:t>Caso a Microsoft use ou de outro modo processe Dados Pessoais sujeitos ao GDPR para operações de negócios incidentes no fornecimento dos Produtos e Serviços ao Cliente, a Microsoft cumprirá as obrigações de uma controladora de dados independente segundo o GDPR para o referido uso. A Microsoft aceita as responsabilidades agregadas de um “controlador” de dados, segundo o GDPR, para processamento para: (a) agir de forma consistente com as exigências regulamentares até o limite exigido segundo o GDPR e (b) fornecer maior transparência aos Clientes e confirmar a responsabilidade da Microsoft para o referido processamento. A Microsoft usa proteções para proteger Dados do Cliente, Dados de Serviços Profissionais e Dados Pessoais no processamento, incluindo as identificadas neste DPA e as contempladas no Artigo 6(4) do GDPR. Com relação ao processamento de Dados Pessoais previsto neste parágrafo, a Microsoft assume os compromissos estabelecidos na seção Proteções Adicionais; para esses fins, (i) qualquer divulgação de Dados Pessoais da Microsoft, conforme descrito na seção Proteções Adicionais, que tenha sido transferida em conexão com as operações de negócios é considerada uma “Divulgação Relevante” e (ii) os compromissos na seção Proteções Adicionais se aplicam a esses Dados Pessoais.</w:t>
      </w:r>
      <w:bookmarkEnd w:id="73"/>
    </w:p>
    <w:p w14:paraId="1735F96A" w14:textId="77777777" w:rsidR="00C85435" w:rsidRPr="00FC77AC" w:rsidRDefault="00C85435" w:rsidP="00741E10">
      <w:pPr>
        <w:pStyle w:val="ProductList-Body"/>
        <w:keepNext/>
        <w:spacing w:after="120"/>
        <w:ind w:left="187"/>
        <w:outlineLvl w:val="2"/>
      </w:pPr>
      <w:bookmarkStart w:id="75" w:name="_Toc26972845"/>
      <w:r>
        <w:rPr>
          <w:b/>
          <w:color w:val="0072C6"/>
        </w:rPr>
        <w:t>Processamento de Detalhes</w:t>
      </w:r>
      <w:bookmarkEnd w:id="75"/>
    </w:p>
    <w:p w14:paraId="0CAE0F8F" w14:textId="77777777" w:rsidR="00C85435" w:rsidRPr="00FC77AC" w:rsidRDefault="00C85435" w:rsidP="002A4A50">
      <w:pPr>
        <w:pStyle w:val="ProductList-Body"/>
        <w:spacing w:after="120"/>
        <w:ind w:left="158"/>
      </w:pPr>
      <w:bookmarkStart w:id="76" w:name="_Toc26972846"/>
      <w:bookmarkStart w:id="77" w:name="_Hlk22881260"/>
      <w:r>
        <w:t>As partes reconhecem e concordam que:</w:t>
      </w:r>
      <w:bookmarkEnd w:id="76"/>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Objeto.</w:t>
      </w:r>
      <w:r>
        <w:rPr>
          <w:rFonts w:ascii="Calibri" w:eastAsia="Calibri" w:hAnsi="Calibri" w:cs="Arial"/>
        </w:rPr>
        <w:t xml:space="preserve"> </w:t>
      </w:r>
      <w:r>
        <w:rPr>
          <w:rFonts w:ascii="Calibri" w:hAnsi="Calibri"/>
        </w:rPr>
        <w:t xml:space="preserve">O objeto do processamento é limitado aos Dados Pessoais no escopo da </w:t>
      </w:r>
      <w:r>
        <w:rPr>
          <w:rFonts w:ascii="Calibri" w:eastAsia="Calibri" w:hAnsi="Calibri" w:cs="Arial"/>
        </w:rPr>
        <w:t xml:space="preserve">seção deste DPA intitulada “Natureza do Processamento de Dados; Propriedade” acima e ao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Duração do Processamento.</w:t>
      </w:r>
      <w:r>
        <w:rPr>
          <w:rFonts w:ascii="Calibri" w:eastAsia="Calibri" w:hAnsi="Calibri" w:cs="Arial"/>
        </w:rPr>
        <w:t xml:space="preserve"> </w:t>
      </w:r>
      <w:r>
        <w:rPr>
          <w:rFonts w:ascii="Calibri" w:hAnsi="Calibri"/>
        </w:rPr>
        <w:t>A duração do processamento deverá estar de acordo com as instruções do Cliente e os termos do DPA</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Natureza e Finalidade do Processamento.</w:t>
      </w:r>
      <w:r>
        <w:rPr>
          <w:rFonts w:ascii="Calibri" w:eastAsia="Calibri" w:hAnsi="Calibri" w:cs="Arial"/>
        </w:rPr>
        <w:t xml:space="preserve"> </w:t>
      </w:r>
      <w:r>
        <w:rPr>
          <w:rFonts w:ascii="Calibri" w:hAnsi="Calibri"/>
        </w:rPr>
        <w:t>A natureza e a finalidade do processamento deverão ser fornecer os Produtos e Serviços de acordo com o contrato de licenciamento por volume do Cliente</w:t>
      </w:r>
      <w:r>
        <w:rPr>
          <w:rFonts w:ascii="Calibri" w:eastAsia="Calibri" w:hAnsi="Calibri" w:cs="Arial"/>
        </w:rPr>
        <w:t xml:space="preserve"> e para operações de negócios incidentes para o fornecimento dos Produtos e Serviços para o Cliente (conforme descrito com mais detalhes na seção deste DPA intitulada “Natureza do Processamento de Dados; Propriedade” acima).</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Categorias de Dados.</w:t>
      </w:r>
      <w:r>
        <w:rPr>
          <w:rFonts w:ascii="Calibri" w:eastAsia="Calibri" w:hAnsi="Calibri" w:cs="Arial"/>
        </w:rPr>
        <w:t xml:space="preserve"> </w:t>
      </w:r>
      <w:r>
        <w:rPr>
          <w:rFonts w:ascii="Calibri" w:hAnsi="Calibri"/>
        </w:rPr>
        <w:t>Os tipos de Dados Pessoais processados pela Microsoft ao fornecer os Produtos e Serviços incluem</w:t>
      </w:r>
      <w:r>
        <w:rPr>
          <w:rFonts w:ascii="Calibri" w:eastAsia="Calibri" w:hAnsi="Calibri" w:cs="Arial"/>
        </w:rPr>
        <w:t>: (i) Dados Pessoais que o Cliente opta por incluir nos Dados do Cliente e nos Dados de Serviços Profissionais e (ii)</w:t>
      </w:r>
      <w:r>
        <w:rPr>
          <w:rFonts w:ascii="Calibri" w:hAnsi="Calibri"/>
        </w:rPr>
        <w:t xml:space="preserve"> aqueles expressamente identificados no Artigo 4 do GDPR</w:t>
      </w:r>
      <w:r>
        <w:rPr>
          <w:rFonts w:ascii="Calibri" w:eastAsia="Calibri" w:hAnsi="Calibri" w:cs="Arial"/>
        </w:rPr>
        <w:t xml:space="preserve"> que podem ser gerados, derivados ou coletados pela Microsoft, incluindo dados enviados à Microsoft como resultado do uso de recursos baseados em serviço pelo Cliente ou obtidos pela Microsoft a partir de software instalado localmente. Os tipos de Dados Pessoais que o Cliente optar por incluir nos Dados do Cliente e Serviços Profissionais podem estar em quaisquer categorias de Dados Pessoais identificados nos registros mantidos pelo Cliente que age como controlador de acordo com o Artigo 30 do GDPR, incluindo as categorias de Dados Pessoais estabelecidas no </w:t>
      </w:r>
      <w:r>
        <w:t>Apêndice B</w:t>
      </w:r>
      <w:r>
        <w:rPr>
          <w:rFonts w:ascii="Calibri" w:eastAsia="Calibri" w:hAnsi="Calibri" w:cs="Arial"/>
        </w:rPr>
        <w:t xml:space="preserve">. </w:t>
      </w:r>
    </w:p>
    <w:p w14:paraId="1E332199" w14:textId="2FD3F302" w:rsidR="00C85435" w:rsidRPr="00F411F5" w:rsidRDefault="00C85435" w:rsidP="00741E10">
      <w:pPr>
        <w:pStyle w:val="ProductList-Body"/>
        <w:numPr>
          <w:ilvl w:val="0"/>
          <w:numId w:val="7"/>
        </w:numPr>
        <w:spacing w:after="120"/>
        <w:ind w:left="540"/>
        <w:rPr>
          <w:rFonts w:ascii="Calibri" w:hAnsi="Calibri"/>
          <w:spacing w:val="-3"/>
        </w:rPr>
      </w:pPr>
      <w:r w:rsidRPr="00F411F5">
        <w:rPr>
          <w:rFonts w:ascii="Calibri" w:eastAsia="Calibri" w:hAnsi="Calibri" w:cs="Arial"/>
          <w:b/>
          <w:bCs/>
          <w:spacing w:val="-3"/>
        </w:rPr>
        <w:t>Titulares dos Dados.</w:t>
      </w:r>
      <w:r w:rsidRPr="00F411F5">
        <w:rPr>
          <w:rFonts w:ascii="Calibri" w:eastAsia="Calibri" w:hAnsi="Calibri" w:cs="Arial"/>
          <w:spacing w:val="-3"/>
        </w:rPr>
        <w:t xml:space="preserve"> </w:t>
      </w:r>
      <w:r w:rsidRPr="00F411F5">
        <w:rPr>
          <w:rFonts w:ascii="Calibri" w:hAnsi="Calibri"/>
          <w:spacing w:val="-3"/>
        </w:rPr>
        <w:t>As categorias de titular de dados são representantes e usuários finais do Cliente, como funcionários, prestadores de serviços, colaboradores e clientes</w:t>
      </w:r>
      <w:r w:rsidRPr="00F411F5">
        <w:rPr>
          <w:rFonts w:ascii="Calibri" w:eastAsia="Calibri" w:hAnsi="Calibri" w:cs="Arial"/>
          <w:spacing w:val="-3"/>
        </w:rPr>
        <w:t xml:space="preserve"> e poderão incluir quaisquer outras categorias de titular de dados identificadas nos registros mantidos pelo Cliente que age como controlador de acordo com o Artigo 30 do GDPR, incluindo as categorias de titular de dados estabelecidas no </w:t>
      </w:r>
      <w:r w:rsidRPr="00F411F5">
        <w:rPr>
          <w:rFonts w:ascii="Calibri" w:hAnsi="Calibri"/>
          <w:spacing w:val="-3"/>
        </w:rPr>
        <w:t>Apêndice B</w:t>
      </w:r>
      <w:r w:rsidRPr="00F411F5">
        <w:rPr>
          <w:rFonts w:ascii="Calibri" w:eastAsia="Calibri" w:hAnsi="Calibri" w:cs="Arial"/>
          <w:spacing w:val="-3"/>
        </w:rPr>
        <w:t>.</w:t>
      </w:r>
    </w:p>
    <w:p w14:paraId="56570C63" w14:textId="77777777" w:rsidR="00C85435" w:rsidRPr="00FC77AC" w:rsidRDefault="00C85435" w:rsidP="002A4A50">
      <w:pPr>
        <w:pStyle w:val="ProductList-Body"/>
        <w:keepNext/>
        <w:spacing w:after="120"/>
        <w:ind w:left="187"/>
        <w:outlineLvl w:val="2"/>
      </w:pPr>
      <w:bookmarkStart w:id="78" w:name="_Toc26972847"/>
      <w:bookmarkEnd w:id="77"/>
      <w:r>
        <w:rPr>
          <w:b/>
          <w:color w:val="0072C6"/>
        </w:rPr>
        <w:t>Direitos do Titular dos Dados; Assistência mediante Solicitações</w:t>
      </w:r>
      <w:bookmarkEnd w:id="78"/>
    </w:p>
    <w:p w14:paraId="64830E93" w14:textId="2D65CC1D" w:rsidR="00C85435" w:rsidRPr="00FC77AC" w:rsidRDefault="00C85435" w:rsidP="00741E10">
      <w:pPr>
        <w:pStyle w:val="ProductList-Body"/>
        <w:spacing w:after="120"/>
        <w:ind w:left="180"/>
      </w:pPr>
      <w:r>
        <w:t>A Microsoft disponibilizará ao Cliente, de forma consistente com a funcionalidade dos Produtos e Serviços e a função da Microsoft como processadora de Dados Pessoais de titulares de dados e a capacidade de atender às solicitações de titulares de dados para exercer seus direitos segundo o GDPR. Se a Microsoft receber uma solicitação do titular dos dados do Cliente para exercer um ou mais dos seus direitos segundo o GDPR com relação aos Produtos e Serviços para os quais a Microsoft seja processadora ou subprocessadora de dados, ela redirecionará o titular dos dados para fazer sua solicitação diretamente ao Cliente. O Cliente será responsável por responder a qualquer solicitação, incluindo, quando necessário, usar a funcionalidade dos Produtos e Serviços. A Microsoft deverá atender às solicitações razoáveis feitas pelo Cliente para auxiliar na resposta do Cliente quanto à solicitação do titular dos dados.</w:t>
      </w:r>
    </w:p>
    <w:p w14:paraId="454F3592" w14:textId="77777777" w:rsidR="00C85435" w:rsidRPr="00FC77AC" w:rsidRDefault="00C85435" w:rsidP="00C35BD5">
      <w:pPr>
        <w:pStyle w:val="ProductList-Body"/>
        <w:keepNext/>
        <w:spacing w:after="120"/>
        <w:ind w:left="187"/>
        <w:outlineLvl w:val="2"/>
      </w:pPr>
      <w:bookmarkStart w:id="79" w:name="_Toc26972848"/>
      <w:r>
        <w:rPr>
          <w:b/>
          <w:color w:val="0072C6"/>
        </w:rPr>
        <w:t>Registros de Processamento de Atividades</w:t>
      </w:r>
      <w:bookmarkEnd w:id="79"/>
    </w:p>
    <w:p w14:paraId="0AC6FE21" w14:textId="77777777" w:rsidR="00C85435" w:rsidRPr="00FC77AC" w:rsidRDefault="00C85435" w:rsidP="00741E10">
      <w:pPr>
        <w:pStyle w:val="ProductList-Body"/>
        <w:spacing w:after="120"/>
        <w:ind w:left="158"/>
      </w:pPr>
      <w:r>
        <w:t>Caso o GDPR exija que a Microsoft colete e mantenha registros de determinadas informações relacionadas ao Cliente, este, quando solicitado, fornecerá essas informações à Microsoft e as manterá precisas e atualizadas. A Microsoft poderá disponibilizar essas informações para a autoridade de supervisão se exigido pelo GDPR.</w:t>
      </w:r>
    </w:p>
    <w:p w14:paraId="7224D640" w14:textId="77777777" w:rsidR="00C85435" w:rsidRPr="00FC77AC"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112504327"/>
      <w:bookmarkEnd w:id="70"/>
      <w:r>
        <w:t>Segurança de Dados</w:t>
      </w:r>
      <w:bookmarkEnd w:id="80"/>
      <w:bookmarkEnd w:id="81"/>
      <w:bookmarkEnd w:id="82"/>
      <w:bookmarkEnd w:id="83"/>
      <w:bookmarkEnd w:id="84"/>
      <w:bookmarkEnd w:id="85"/>
    </w:p>
    <w:p w14:paraId="4798B59C" w14:textId="77777777" w:rsidR="00C85435" w:rsidRPr="00FC77AC" w:rsidRDefault="00C85435" w:rsidP="002A4A50">
      <w:pPr>
        <w:pStyle w:val="ProductList-Body"/>
        <w:keepNext/>
        <w:spacing w:after="120"/>
        <w:ind w:left="187"/>
        <w:outlineLvl w:val="2"/>
      </w:pPr>
      <w:bookmarkStart w:id="86" w:name="_Toc26972850"/>
      <w:r>
        <w:rPr>
          <w:b/>
          <w:color w:val="0072C6"/>
        </w:rPr>
        <w:t>Políticas e Práticas de Segurança</w:t>
      </w:r>
      <w:bookmarkEnd w:id="86"/>
    </w:p>
    <w:p w14:paraId="487BF73D" w14:textId="492E04E5" w:rsidR="00C85435" w:rsidRPr="00FC77AC" w:rsidRDefault="00C85435" w:rsidP="00741E10">
      <w:pPr>
        <w:pStyle w:val="ProductList-Body"/>
        <w:spacing w:after="120"/>
        <w:ind w:left="158"/>
      </w:pPr>
      <w:bookmarkStart w:id="87" w:name="_Hlk504328104"/>
      <w:r>
        <w:t xml:space="preserve">A Microsoft implementará e manterá as medidas técnicas e organizacionais apropriadas para proteger os Dados do Cliente, Dados de Serviços Profissionais e Dados Pessoais contra perda, destruição, alteração acidentais ou ilegais, divulgação ou não autorizado a dados pessoais transmitidos, armazenados ou processados de outra forma. Esses procedimentos devem ser estabelecidos em uma Política de Segurança da Microsoft. A Microsoft disponibilizará essa política para o Cliente, junto com outras informações solicitadas de forma razoável pelo Cliente em relação às práticas e políticas de segurança da Microsoft. </w:t>
      </w:r>
    </w:p>
    <w:p w14:paraId="0AEE035D" w14:textId="30FBC736" w:rsidR="009D4FDB" w:rsidRPr="00FC77AC" w:rsidRDefault="00DD6D76" w:rsidP="00741E10">
      <w:pPr>
        <w:pStyle w:val="ProductList-Body"/>
        <w:spacing w:after="120"/>
        <w:ind w:left="158"/>
      </w:pPr>
      <w:bookmarkStart w:id="88" w:name="_Toc26972852"/>
      <w:bookmarkEnd w:id="87"/>
      <w:r>
        <w:t>Além disso, essas medidas devem estar em conformidade com os requisitos estabelecidos na ISO 27001, ISO 27002 e ISO 27018. Uma descrição dos controles de segurança para esses requisitos está disponível para os Clientes.</w:t>
      </w:r>
    </w:p>
    <w:p w14:paraId="14FF47A5" w14:textId="5428AF0D" w:rsidR="00DD6D76" w:rsidRPr="00FC77AC" w:rsidRDefault="00DD6D76" w:rsidP="00741E10">
      <w:pPr>
        <w:pStyle w:val="ProductList-Body"/>
        <w:spacing w:after="120"/>
        <w:ind w:left="158"/>
      </w:pPr>
      <w:r>
        <w:t>Cada Serviço Online Principal também deve estar em conformidade com os padrões e as estruturas de controle mostrados na tabela nos Termos do Produto. Cada Serviço Online Principal e Serviço Profissional implementam e mantêm as medidas de segurança estabelecidas no Apêndice A para a proteção de Dados do Cliente e Dados de Serviços Profissionais.</w:t>
      </w:r>
    </w:p>
    <w:p w14:paraId="206C538B" w14:textId="21A7E6E3" w:rsidR="00DD6D76" w:rsidRPr="00FC77AC" w:rsidRDefault="00DD6D76" w:rsidP="00741E10">
      <w:pPr>
        <w:pStyle w:val="ProductList-Body"/>
        <w:spacing w:after="120"/>
        <w:ind w:left="158"/>
      </w:pPr>
      <w:bookmarkStart w:id="89" w:name="_Toc26972851"/>
      <w:r>
        <w:t>A Microsoft poderá adicionar padrões do setor ou governamentais a qualquer momento. A Microsoft não eliminará a ISO 27001, a ISO 27002, a ISO 27018 nem qualquer padrão ou estrutura na tabela para os Serviços Online Principais nos Termos do Produto, a menos que elas não sejam mais usadas no setor e sejam substituídas por um sucessor (se houver).</w:t>
      </w:r>
      <w:bookmarkEnd w:id="89"/>
    </w:p>
    <w:p w14:paraId="76CDC3B9" w14:textId="77777777" w:rsidR="00DD6D76" w:rsidRPr="00FC77AC" w:rsidRDefault="00DD6D76" w:rsidP="002A4A50">
      <w:pPr>
        <w:pStyle w:val="ProductList-Body"/>
        <w:keepNext/>
        <w:spacing w:after="120"/>
        <w:ind w:left="187"/>
        <w:outlineLvl w:val="2"/>
      </w:pPr>
      <w:bookmarkStart w:id="90" w:name="_Hlk40371496"/>
      <w:r>
        <w:rPr>
          <w:b/>
          <w:color w:val="0072C6"/>
        </w:rPr>
        <w:t xml:space="preserve">Criptografia de Dados </w:t>
      </w:r>
    </w:p>
    <w:p w14:paraId="4EDA944E" w14:textId="105BBFC3" w:rsidR="00DD6D76" w:rsidRPr="00FC77AC" w:rsidRDefault="00DD6D76" w:rsidP="00741E10">
      <w:pPr>
        <w:pStyle w:val="ProductList-Body"/>
        <w:spacing w:after="120"/>
        <w:ind w:left="158"/>
      </w:pPr>
      <w:r>
        <w:t xml:space="preserve">Os Dados do Cliente e os Dados de Serviços Profissionais (cada um deles incluindo quaisquer Dados Pessoais) em trânsito por redes públicas entre o Cliente e a Microsoft, ou entre os data centers da Microsoft, são criptografados por padrão. </w:t>
      </w:r>
    </w:p>
    <w:p w14:paraId="3278572B" w14:textId="7F32E7A0" w:rsidR="00DD6D76" w:rsidRPr="00FC77AC" w:rsidRDefault="00DD6D76" w:rsidP="00741E10">
      <w:pPr>
        <w:pStyle w:val="ProductList-Body"/>
        <w:spacing w:after="120"/>
        <w:ind w:left="158"/>
      </w:pPr>
      <w:r>
        <w:t>A Microsoft também criptografa os Dados do Cliente armazenados em repouso nos Serviços Online e os Dados de Serviços Profissionais armazenados em repouso. No caso dos Serviços Online nos quais um Cliente ou um terceiro atuando em nome do Cliente pode criar aplicativos (por exemplo, determinados Serviços do Azure), a criptografia de dados armazenados em tais aplicativos pode ser empregada a critério do Cliente, usando os recursos fornecidos pela Microsoft ou obtidos pelo Cliente de terceiros.</w:t>
      </w:r>
    </w:p>
    <w:p w14:paraId="4DB4D680" w14:textId="77777777" w:rsidR="00DD6D76" w:rsidRPr="00FC77AC" w:rsidRDefault="00DD6D76" w:rsidP="000A6DC7">
      <w:pPr>
        <w:pStyle w:val="ProductList-Body"/>
        <w:keepNext/>
        <w:spacing w:after="120"/>
        <w:ind w:left="187"/>
        <w:outlineLvl w:val="2"/>
      </w:pPr>
      <w:r>
        <w:rPr>
          <w:b/>
          <w:color w:val="0072C6"/>
        </w:rPr>
        <w:t xml:space="preserve">Acesso aos Dados </w:t>
      </w:r>
    </w:p>
    <w:p w14:paraId="729E7942" w14:textId="220ECD4F" w:rsidR="006824EE" w:rsidRPr="00FC77AC" w:rsidRDefault="00CD0D6F" w:rsidP="006824EE">
      <w:pPr>
        <w:pStyle w:val="ProductList-Body"/>
        <w:spacing w:after="120"/>
        <w:ind w:left="158"/>
      </w:pPr>
      <w:r>
        <w:t>A Microsoft emprega mecanismos de acesso de privilégios mínimos para controlar o acesso aos Dados do Cliente e Dados de Serviços Profissionais (inclusive a quaisquer Dados Pessoais). Os controles de acesso com base em funções são empregados para garantir que o acesso aos Dados do Cliente e Dados de Serviços Profissionais exigido para as operações de serviço seja para uma finalidade apropriada e aprovado com supervisão da gerência. Para os Serviços Online Principais e Serviços Profissionais, a Microsoft mantém os mecanismos de Controle de Acesso descritos na tabela intitulada “Medidas de Segurança” no Apêndice A e não há acesso permanente pela equipe da Microsoft aos Dados do Cliente e qualquer acesso necessário é por tempo limitado.</w:t>
      </w:r>
    </w:p>
    <w:bookmarkEnd w:id="90"/>
    <w:p w14:paraId="11FFA921" w14:textId="77777777" w:rsidR="00C85435" w:rsidRPr="00FC77AC" w:rsidRDefault="00C85435" w:rsidP="002A4A50">
      <w:pPr>
        <w:pStyle w:val="ProductList-Body"/>
        <w:keepNext/>
        <w:spacing w:after="120"/>
        <w:ind w:left="187"/>
        <w:outlineLvl w:val="2"/>
      </w:pPr>
      <w:r>
        <w:rPr>
          <w:b/>
          <w:color w:val="0072C6"/>
        </w:rPr>
        <w:t>Responsabilidades do Cliente</w:t>
      </w:r>
      <w:bookmarkEnd w:id="88"/>
    </w:p>
    <w:p w14:paraId="18080BBE" w14:textId="367A4296" w:rsidR="00C85435" w:rsidRPr="00FC77AC" w:rsidRDefault="00C85435" w:rsidP="007829B6">
      <w:pPr>
        <w:pStyle w:val="ProductList-Body"/>
        <w:spacing w:after="120"/>
        <w:ind w:left="158"/>
      </w:pPr>
      <w:r>
        <w:t>O Cliente é o único responsável por fazer com que uma determinação independente sobre se as medidas técnicas e organizacionais para os Produtos e Serviços atenda aos requisitos do Cliente, incluindo qualquer uma de suas obrigações de segurança segundo os Requisitos de Proteção de Dados aplicáveis. O Cliente reconhece e concorda que (levando em conta a tecnologia avançada, os custos de implementação e a natureza, o escopo, o contexto e as finalidades de processamento de seus Dados Pessoais, bem como os riscos aos indivíduos), as práticas e políticas de segurança implementadas e mantidas pela Microsoft oferecem um nível de segurança adequado ao risco com relação aos seus Dados Pessoais. O Cliente é responsável por implementar e manter proteções de privacidade e medidas de segurança para componentes fornecidos ou controlados por ele (como dispositivos registrados no Microsoft Intune, na máquina virtual ou no aplicativo de um cliente do Microsoft Azure).</w:t>
      </w:r>
    </w:p>
    <w:p w14:paraId="1854A774" w14:textId="77777777" w:rsidR="00C85435" w:rsidRPr="00FC77AC" w:rsidDel="00BA1419" w:rsidRDefault="00C85435" w:rsidP="002A4A50">
      <w:pPr>
        <w:pStyle w:val="ProductList-Body"/>
        <w:keepNext/>
        <w:spacing w:after="120"/>
        <w:ind w:left="187"/>
        <w:outlineLvl w:val="2"/>
      </w:pPr>
      <w:bookmarkStart w:id="91" w:name="_Toc26972853"/>
      <w:r>
        <w:rPr>
          <w:b/>
          <w:color w:val="0072C6"/>
        </w:rPr>
        <w:t>Auditoria de Conformidade</w:t>
      </w:r>
      <w:bookmarkEnd w:id="91"/>
    </w:p>
    <w:p w14:paraId="02A8BB60" w14:textId="6B6FF476" w:rsidR="00C85435" w:rsidRPr="00FC77AC" w:rsidDel="00BA1419" w:rsidRDefault="00C85435" w:rsidP="00741E10">
      <w:pPr>
        <w:pStyle w:val="ProductList-Body"/>
        <w:spacing w:after="120"/>
        <w:ind w:left="158"/>
      </w:pPr>
      <w:r>
        <w:t>A Microsoft conduzirá auditorias da segurança dos computadores, do ambiente computacional e dos data centers físicos que ele usa no processamento de Dados do Cliente, Dados de Serviços Profissionais e Dados Pessoais, da seguinte forma:</w:t>
      </w:r>
    </w:p>
    <w:p w14:paraId="1E290820" w14:textId="77777777" w:rsidR="00C85435" w:rsidRPr="00FC77AC" w:rsidDel="00BA1419" w:rsidRDefault="00C85435" w:rsidP="00741E10">
      <w:pPr>
        <w:pStyle w:val="ProductList-Body"/>
        <w:numPr>
          <w:ilvl w:val="0"/>
          <w:numId w:val="2"/>
        </w:numPr>
        <w:ind w:left="605" w:hanging="274"/>
      </w:pPr>
      <w:r>
        <w:t>Se for fornecido um padrão ou uma estrutura para auditorias, uma auditoria de tal padrão de controle ou estrutura será iniciada pelo menos anualmente.</w:t>
      </w:r>
    </w:p>
    <w:p w14:paraId="27297A96" w14:textId="77777777" w:rsidR="00C85435" w:rsidRPr="00FC77AC" w:rsidDel="00BA1419" w:rsidRDefault="00C85435" w:rsidP="00741E10">
      <w:pPr>
        <w:pStyle w:val="ProductList-Body"/>
        <w:numPr>
          <w:ilvl w:val="0"/>
          <w:numId w:val="2"/>
        </w:numPr>
        <w:ind w:left="605" w:hanging="274"/>
      </w:pPr>
      <w:r>
        <w:t>Cada auditoria será executada de acordo com os padrões e as regras da agência regulatória ou da agência de credenciamento para cada estrutura ou padrão de controle aplicável.</w:t>
      </w:r>
    </w:p>
    <w:p w14:paraId="7D50977E" w14:textId="77777777" w:rsidR="00C85435" w:rsidRPr="00FC77AC" w:rsidDel="00BA1419" w:rsidRDefault="00C85435" w:rsidP="00741E10">
      <w:pPr>
        <w:pStyle w:val="ProductList-Body"/>
        <w:numPr>
          <w:ilvl w:val="0"/>
          <w:numId w:val="2"/>
        </w:numPr>
        <w:spacing w:after="120"/>
        <w:ind w:left="608" w:hanging="270"/>
      </w:pPr>
      <w:r>
        <w:t>Cada auditoria será executada por auditores de segurança qualificados, independentes e terceiros que serão selecionados pela Microsoft, que também arcará com as custas.</w:t>
      </w:r>
    </w:p>
    <w:p w14:paraId="3CE90043" w14:textId="2DDDBD06" w:rsidR="00C85435" w:rsidRPr="00FC77AC" w:rsidRDefault="00C85435" w:rsidP="00741E10">
      <w:pPr>
        <w:pStyle w:val="ProductList-Body"/>
        <w:spacing w:after="120"/>
        <w:ind w:left="180"/>
      </w:pPr>
      <w:r>
        <w:t xml:space="preserve">Cada auditoria resultará na geração de um relatório de auditoria (“Relatório de Auditoria da Microsoft”), que a Microsoft disponibilizará no site </w:t>
      </w:r>
      <w:hyperlink r:id="rId21">
        <w:r>
          <w:rPr>
            <w:rStyle w:val="Hyperlink"/>
            <w:color w:val="0070C0"/>
          </w:rPr>
          <w:t>https://servicetrust.microsoft.com/</w:t>
        </w:r>
      </w:hyperlink>
      <w:r>
        <w:t xml:space="preserve"> ou outro local identificado por ela. O Relatório de Auditoria da Microsoft serão as Informações Confidenciais da Microsoft e divulgará claramente todas as descobertas materiais realizadas pelo auditor. A Microsoft solucionará imediatamente os problemas levantados em todo Relatório de Auditoria da Microsoft para a satisfação do auditor. Mediante solicitação do Cliente, a Microsoft fornecerá a ele cada Relatório de Auditoria da Microsoft. O Relatório de Auditoria da Microsoft estará sujeito a limitações de não divulgação e distribuição da Microsoft e do auditor.</w:t>
      </w:r>
    </w:p>
    <w:p w14:paraId="2ED1BA08" w14:textId="07B48048" w:rsidR="00C85435" w:rsidRPr="00FC77AC" w:rsidRDefault="00EF5AF3" w:rsidP="00741E10">
      <w:pPr>
        <w:pStyle w:val="ProductList-Body"/>
        <w:spacing w:after="120"/>
        <w:ind w:left="158"/>
      </w:pPr>
      <w:r>
        <w:t>Caso os requisitos de auditoria do Cliente de acordo com os Requisitos de Proteção de Dados não possam ser razoavelmente atendidos por meio dos relatórios de auditoria, da documentação ou das informações de conformidade disponibilizadas pela Microsoft aos seus clientes, a Microsoft responderá imediatamente às instruções de auditoria adicionais do Cliente. Antes do início de uma auditoria, o Cliente e a Microsoft concordarão em relação ao escopo, ao prazo, à duração, ao controle, aos requisitos de evidências e aos valores da auditoria, desde que esse requisito não faça com que a Microsoft atrase de forma não razoável o desempenho da auditoria. Na medida necessária para realizar a auditoria, a Microsoft disponibilizará os sistemas de processamento, as instalações e a documentação de apoio pertinentes ao processamento dos Dados do Cliente, dos Dados de Serviços Profissionais e dos Dados Pessoais por parte da Microsoft, às suas Afiliadas e Subprocessadores. Essa auditoria será realizada por uma empresa de auditoria terceira independente e credenciada, durante o horário comercial normal, com uma notificação com antecedência razoável para a Microsoft e sujeito a procedimentos de confidencialidade razoáveis. Nem o Cliente nem o auditor deverão ter acesso a dados de outros clientes da Microsoft nem a sistemas ou instalações da Microsoft não envolvidos no fornecimento dos Produtos e Serviços aplicáveis. O Cliente é responsável por todos os custos e os valores relacionados a essa auditoria, incluindo todos os custos e os valores razoáveis para todas as despesas da Microsoft por essa auditoria, além das tarifas de serviços executados pela Microsoft. Se o relatório de auditoria gerado como resultado da auditoria do Cliente incluir qualquer descoberta de não conformidade importante, o Cliente deverá compartilhar esse relatório de auditoria com a Microsoft, e esta deverá sanar imediatamente qualquer não conformidade importante.</w:t>
      </w:r>
    </w:p>
    <w:p w14:paraId="63F4B7F6" w14:textId="0F861294" w:rsidR="00C85435" w:rsidRPr="00FC77AC" w:rsidRDefault="00BF6860" w:rsidP="00741E10">
      <w:pPr>
        <w:pStyle w:val="ProductList-Body"/>
        <w:spacing w:after="120"/>
        <w:ind w:left="158"/>
      </w:pPr>
      <w:r>
        <w:t>Nenhum termo desta seção do DPA variará nem modificará os Termos do GDPR nem afetará os direitos de autoridades de supervisão nem do titular segundo os Requisitos de Proteção de Dados. A Microsoft Corporation é um terceiro beneficiário pretendido desta seção.</w:t>
      </w:r>
    </w:p>
    <w:p w14:paraId="10CE5BEA" w14:textId="77777777" w:rsidR="00C85435" w:rsidRPr="00FC77AC"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112504328"/>
      <w:r>
        <w:t>Notificação de Incidentes de Segurança</w:t>
      </w:r>
      <w:bookmarkEnd w:id="92"/>
      <w:bookmarkEnd w:id="93"/>
      <w:bookmarkEnd w:id="94"/>
      <w:bookmarkEnd w:id="95"/>
      <w:bookmarkEnd w:id="96"/>
      <w:bookmarkEnd w:id="97"/>
    </w:p>
    <w:p w14:paraId="57A8DE0C" w14:textId="5D669963" w:rsidR="00C85435" w:rsidRPr="00FC77AC" w:rsidRDefault="00C85435" w:rsidP="00741E10">
      <w:pPr>
        <w:pStyle w:val="ProductList-Body"/>
        <w:spacing w:after="120"/>
      </w:pPr>
      <w:bookmarkStart w:id="98" w:name="_Hlk504328309"/>
      <w:r>
        <w:t>Se a Microsoft tomar conhecimento de uma violação de segurança que leve à destruição, perda, alteração, divulgação não autorizada ou acesso acidental ou ilegal a Dados do Cliente, Dados de Serviços Profissionais ou Dados Pessoais processados pela Microsoft (individualmente, “Incidente de Segurança”)</w:t>
      </w:r>
      <w:bookmarkEnd w:id="98"/>
      <w:r>
        <w:t>, a Microsoft prontamente e sem atraso indevido (1) notificará o Cliente sobre o Incidente de Segurança; (2) investigará o Incidente de Segurança e fornecerá ao Cliente informações detalhadas sobre ele; (3) tomará as medidas razoáveis para minimizar os efeitos e reduzir quaisquer danos resultantes do Incidente de Segurança.</w:t>
      </w:r>
    </w:p>
    <w:p w14:paraId="3FD177D1" w14:textId="50C6866F" w:rsidR="00C85435" w:rsidRPr="00FC77AC" w:rsidRDefault="00C85435" w:rsidP="00741E10">
      <w:pPr>
        <w:pStyle w:val="ProductList-Body"/>
        <w:spacing w:after="120"/>
      </w:pPr>
      <w:r>
        <w:t>A Notificação de Incidentes de Segurança será entregue ao Cliente por qualquer forma selecionada pela Microsoft, inclusive por email. É responsabilidade exclusiva do Cliente garantir que o Cliente mantenha informações de contato precisas com a Microsoft para cada Produto e Serviço Profissional aplicável. O Cliente é o único responsável pelo cumprimento de suas obrigações nos termos das leis de notificação de incidentes aplicáveis ao Cliente e pelo cumprimento das obrigações de notificação de terceiros relacionadas a qualquer Incidente de Segurança.</w:t>
      </w:r>
    </w:p>
    <w:p w14:paraId="125679F7" w14:textId="77777777" w:rsidR="00C85435" w:rsidRPr="00FC77AC" w:rsidRDefault="00C85435" w:rsidP="00741E10">
      <w:pPr>
        <w:pStyle w:val="ProductList-Body"/>
        <w:spacing w:after="120"/>
      </w:pPr>
      <w:r>
        <w:t>A Microsoft deverá envidar esforços razoáveis para auxiliar o Cliente no cumprimento das suas obrigações nos termos do Artigo 33 ou de outro regulamento ou lei aplicável a fim de notificar a autoridade de supervisão pertinente e os titulares de dados sobre o Incidente de Segurança.</w:t>
      </w:r>
    </w:p>
    <w:p w14:paraId="60FE4522" w14:textId="77777777" w:rsidR="00C85435" w:rsidRPr="00FC77AC" w:rsidRDefault="00C85435" w:rsidP="00741E10">
      <w:pPr>
        <w:pStyle w:val="ProductList-Body"/>
        <w:spacing w:after="120"/>
      </w:pPr>
      <w:r>
        <w:t>A notificação ou resposta da Microsoft a um Incidente de Segurança prevista nesta seção não é um reconhecimento de falha ou responsabilidade da Microsoft a respeito do Incidente de Segurança.</w:t>
      </w:r>
    </w:p>
    <w:p w14:paraId="76EEF6E6" w14:textId="4BC4E184" w:rsidR="00C85435" w:rsidRPr="00FC77AC" w:rsidRDefault="00C85435" w:rsidP="00741E10">
      <w:pPr>
        <w:pStyle w:val="ProductList-Body"/>
        <w:spacing w:after="120"/>
      </w:pPr>
      <w:r>
        <w:t>O Cliente deverá notificar a Microsoft imediatamente sobre qualquer possível uso indevido de suas contas ou credenciais de autenticação ou qualquer incidente de segurança relacionado aos Produtos e Serviços.</w:t>
      </w:r>
    </w:p>
    <w:p w14:paraId="5E88C2A3" w14:textId="77777777" w:rsidR="00C85435" w:rsidRPr="00FC77AC"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112504329"/>
      <w:bookmarkStart w:id="105" w:name="DataTransfersandLocation"/>
      <w:r>
        <w:t xml:space="preserve">Localização e Transferências </w:t>
      </w:r>
      <w:bookmarkStart w:id="106" w:name="LocationofDataProcessing"/>
      <w:bookmarkStart w:id="107" w:name="_Toc489605583"/>
      <w:r>
        <w:t>de /Dados</w:t>
      </w:r>
      <w:bookmarkEnd w:id="99"/>
      <w:bookmarkEnd w:id="100"/>
      <w:bookmarkEnd w:id="101"/>
      <w:bookmarkEnd w:id="102"/>
      <w:bookmarkEnd w:id="103"/>
      <w:bookmarkEnd w:id="104"/>
      <w:bookmarkEnd w:id="106"/>
      <w:bookmarkEnd w:id="107"/>
    </w:p>
    <w:p w14:paraId="6EDDA655" w14:textId="77777777" w:rsidR="00C85435" w:rsidRPr="00FC77AC" w:rsidRDefault="00C85435" w:rsidP="00C35BD5">
      <w:pPr>
        <w:pStyle w:val="ProductList-Body"/>
        <w:keepNext/>
        <w:spacing w:after="120"/>
        <w:ind w:left="187"/>
        <w:outlineLvl w:val="2"/>
      </w:pPr>
      <w:bookmarkStart w:id="108" w:name="_Toc26972856"/>
      <w:bookmarkEnd w:id="105"/>
      <w:r>
        <w:rPr>
          <w:b/>
          <w:bCs/>
          <w:color w:val="0072C6"/>
        </w:rPr>
        <w:t>Transferências de Dados</w:t>
      </w:r>
      <w:bookmarkEnd w:id="108"/>
    </w:p>
    <w:p w14:paraId="1E6BFECB" w14:textId="281D3B86" w:rsidR="00DD6D76" w:rsidRPr="00FC77AC" w:rsidRDefault="00DD6D76" w:rsidP="00741E10">
      <w:pPr>
        <w:pStyle w:val="ProductList-Body"/>
        <w:spacing w:after="120"/>
        <w:ind w:left="158"/>
      </w:pPr>
      <w:r>
        <w:t xml:space="preserve">Os Dados do Cliente, Dados de Serviços Profissionais e os Dados Pessoais processados pela Microsoft em nome do Cliente não podem ser transferidos para ou armazenados e processados em uma região geográfica, exceto de acordo com os Termos do DPA e as proteções fornecidas abaixo nesta seção. Levando em conta tais proteções, o Cliente indica a Microsoft para transferir os Dados do Cliente, Dados de Serviços Profissionais e os Dados Pessoais para os Estados Unidos ou para qualquer outro país no qual a Microsoft ou seus Subprocessadores operam e para armazenar e processar os Dados do Cliente e os Dados Pessoais para fornecer os Produtos, salvo o descrito em outra cláusula nos Termos do DPA. </w:t>
      </w:r>
    </w:p>
    <w:p w14:paraId="6D72844F" w14:textId="1DA2D53D" w:rsidR="00C85435" w:rsidRPr="00FC77AC" w:rsidRDefault="00131F1F" w:rsidP="00741E10">
      <w:pPr>
        <w:pStyle w:val="ProductList-Body"/>
        <w:spacing w:after="120"/>
        <w:ind w:left="158"/>
      </w:pPr>
      <w:r>
        <w:t>Todas as transferências de Dados do Cliente, Dados de Serviços Profissionais e Dados Pessoais para fora da União Europeia, da Área Econômica Europeia, do Reino Unido e da Suíça para fornecer os Produtos e Serviços serão regidas pelas Cláusulas Contratuais Padrão de 2021 implementadas pela Microsoft. Além disso, as transferências do Reino Unido serão regidas pelo IDTA implementado pela Microsoft. Para os fins deste DPA, “IDTA” significa o adendo de transferência internacional de dados às cláusulas contratuais padrão da Comissão Europeia para transferências internacionais de dados emitidas pelo Escritório do Comissário de Informações do Reino Unido previsto em S119A(1) da Lei de Proteção de Dados do Reino Unido de 2018. A Microsoft cumprirá os requisitos das leis de proteção de dados da Área Econômica Europeia, do Reino Unido e da Suíça em relação à coleta, ao uso, à transferência, à retenção e outro processamento de Dados Pessoais da Área Econômica Europeia, do Reino Unido e da Suíça. Todas as transferências de Dados Pessoais a um terceiro país ou a uma organização internacional estarão sujeitas a proteções adequadas, conforme descrito no Artigo 46 do GDPR, e tais transferências e proteções serão documentadas de acordo com o Artigo 30(2) do GDPR.</w:t>
      </w:r>
    </w:p>
    <w:p w14:paraId="1842DE15" w14:textId="3B8CE4CC" w:rsidR="00C85435" w:rsidRPr="00FC77AC" w:rsidRDefault="00C85435" w:rsidP="00741E10">
      <w:pPr>
        <w:pStyle w:val="ProductList-Body"/>
        <w:spacing w:after="120"/>
        <w:ind w:left="158"/>
      </w:pPr>
      <w:r>
        <w:t>Além disso, a Microsoft tornou-se certificada com relação à Defesa de Privacidade da União Europeia - Estados Unidos e Suíça - Estados Unidos e aos compromissos que eles englobam</w:t>
      </w:r>
      <w:r>
        <w:rPr>
          <w:rStyle w:val="normaltextrun"/>
          <w:rFonts w:ascii="Calibri" w:hAnsi="Calibri" w:cs="Calibri"/>
          <w:szCs w:val="18"/>
          <w:shd w:val="clear" w:color="auto" w:fill="FFFFFF"/>
        </w:rPr>
        <w:t>, embora a Microsoft não confie na Estrutura de Defesa de Privacidade da União Europeia - Estados Unidos como um fundamento jurídico para transferências de Dados Pessoais à luz da decisão judicial do Tribunal de Justiça da União Europeia no Caso C-311/18</w:t>
      </w:r>
      <w:r>
        <w:t>. A Microsoft concorda em notificar o Cliente caso ela faça uma determinação de que não pode mais cumprir suas obrigações de fornecer o mesmo nível de proteção exigido pelos princípios de Defesa de Privacidade.</w:t>
      </w:r>
    </w:p>
    <w:p w14:paraId="59350089" w14:textId="77777777" w:rsidR="00C85435" w:rsidRPr="00FC77AC" w:rsidRDefault="00C85435" w:rsidP="002A4A50">
      <w:pPr>
        <w:pStyle w:val="ProductList-Body"/>
        <w:keepNext/>
        <w:spacing w:after="120"/>
        <w:ind w:left="187"/>
        <w:outlineLvl w:val="2"/>
      </w:pPr>
      <w:bookmarkStart w:id="109" w:name="_Toc26972857"/>
      <w:bookmarkStart w:id="110" w:name="LocationofCustomerDataatRest"/>
      <w:r>
        <w:rPr>
          <w:b/>
          <w:color w:val="0072C6"/>
        </w:rPr>
        <w:t>Local dos Dados do Cliente Inativos</w:t>
      </w:r>
      <w:bookmarkEnd w:id="109"/>
    </w:p>
    <w:bookmarkEnd w:id="110"/>
    <w:p w14:paraId="61627311" w14:textId="44A91ED6" w:rsidR="00C85435" w:rsidRPr="00FC77AC" w:rsidRDefault="00DD6D76" w:rsidP="00741E10">
      <w:pPr>
        <w:pStyle w:val="ProductList-Body"/>
        <w:tabs>
          <w:tab w:val="clear" w:pos="158"/>
          <w:tab w:val="left" w:pos="360"/>
        </w:tabs>
        <w:spacing w:after="120"/>
        <w:ind w:left="180"/>
      </w:pPr>
      <w:r>
        <w:t>Com relação aos Principais Serviços Online, a Microsoft armazenará os Dados do Cliente em repouso em determinadas áreas geográficas importantes (individualmente, Área Geográfica) conforme estabelecido nos Termos do Produto.</w:t>
      </w:r>
    </w:p>
    <w:p w14:paraId="2B9DBCE2" w14:textId="5B10F793" w:rsidR="00C85435" w:rsidRPr="00560E6B" w:rsidRDefault="00C85435" w:rsidP="00741E10">
      <w:pPr>
        <w:pStyle w:val="ProductList-Body"/>
        <w:tabs>
          <w:tab w:val="clear" w:pos="158"/>
          <w:tab w:val="left" w:pos="360"/>
        </w:tabs>
        <w:spacing w:after="120"/>
        <w:ind w:left="180"/>
        <w:rPr>
          <w:spacing w:val="-3"/>
        </w:rPr>
      </w:pPr>
      <w:r w:rsidRPr="00560E6B">
        <w:rPr>
          <w:spacing w:val="-3"/>
        </w:rPr>
        <w:t>A Microsoft não controla nem limita as regiões das quais o Cliente ou os seus respectivos usuários finais possam acessar ou mover Dados do Cliente.</w:t>
      </w:r>
    </w:p>
    <w:p w14:paraId="60CFC808" w14:textId="77777777" w:rsidR="00C85435" w:rsidRPr="00FC77AC" w:rsidRDefault="00C85435" w:rsidP="002A4A50">
      <w:pPr>
        <w:pStyle w:val="ProductList-SubSubSectionHeading"/>
        <w:keepNext/>
        <w:spacing w:after="120"/>
        <w:outlineLvl w:val="1"/>
      </w:pPr>
      <w:bookmarkStart w:id="111" w:name="_Toc507768556"/>
      <w:bookmarkStart w:id="112" w:name="_Toc8395016"/>
      <w:bookmarkStart w:id="113" w:name="_Toc6563805"/>
      <w:bookmarkStart w:id="114" w:name="_Toc21617023"/>
      <w:bookmarkStart w:id="115" w:name="_Toc26972858"/>
      <w:bookmarkStart w:id="116" w:name="_Toc112504330"/>
      <w:r>
        <w:t>Retenção e Exclusão de Dados</w:t>
      </w:r>
      <w:bookmarkEnd w:id="111"/>
      <w:bookmarkEnd w:id="112"/>
      <w:bookmarkEnd w:id="113"/>
      <w:bookmarkEnd w:id="114"/>
      <w:bookmarkEnd w:id="115"/>
      <w:bookmarkEnd w:id="116"/>
    </w:p>
    <w:p w14:paraId="1E39C7A1" w14:textId="1B6FE9AF" w:rsidR="00C85435" w:rsidRPr="00FC77AC" w:rsidRDefault="00C85435" w:rsidP="00741E10">
      <w:pPr>
        <w:pStyle w:val="ProductList-Body"/>
        <w:spacing w:after="120"/>
      </w:pPr>
      <w:r>
        <w:t>Durante todo o tempo da assinatura do Cliente ou o contrato de Serviços Profissionais aplicáveis, ele poderá acessar, extrair e excluir os Dados do Cliente armazenados em cada Serviço Online e Dados de Serviços Profissionais.</w:t>
      </w:r>
    </w:p>
    <w:p w14:paraId="4E65B649" w14:textId="0FA17B85" w:rsidR="00C85435" w:rsidRPr="00FC77AC" w:rsidRDefault="00C85435" w:rsidP="00741E10">
      <w:pPr>
        <w:pStyle w:val="ProductList-Body"/>
        <w:spacing w:after="120"/>
      </w:pPr>
      <w:r>
        <w:t>Exceto para avaliações gratuitas e serviços do LinkedIn, a Microsoft reterá os Dados do Cliente armazenados nos Serviços Online em uma conta com função limitada por 90 dias após o término ou a rescisão da assinatura do Cliente para que este possa extrair os dados. Após o término do período de retenção de 90 dias, a Microsoft desativará a conta do Cliente e excluirá os Dados do Cliente e os Dados Pessoais armazenados nos Serviços Online dentro de 90 dias adicionais, a menos que seja autorizado por este DPA que a Microsoft retenha tais dados.</w:t>
      </w:r>
    </w:p>
    <w:p w14:paraId="63ED44D1" w14:textId="13A68572" w:rsidR="00FC65D5" w:rsidRPr="00FC77AC" w:rsidRDefault="001D451C" w:rsidP="00741E10">
      <w:pPr>
        <w:pStyle w:val="ProductList-Body"/>
        <w:spacing w:after="120"/>
      </w:pPr>
      <w:r>
        <w:t>Para Dados Pessoais relacionados ao Software e para os Dados de Serviços Profissionais, a Microsoft excluirá todas as cópias depois das finalidades comerciais para as quais os dados foram coletados ou transferidos forem atendidos ou antes, mediante solicitação do Cliente, a menos que autorizado por este DPA a reter esses dados.</w:t>
      </w:r>
    </w:p>
    <w:p w14:paraId="6ADDB89E" w14:textId="4F03EB96" w:rsidR="00C85435" w:rsidRPr="00FC77AC" w:rsidRDefault="00C85435" w:rsidP="00741E10">
      <w:pPr>
        <w:pStyle w:val="ProductList-Body"/>
        <w:spacing w:after="120"/>
      </w:pPr>
      <w:r>
        <w:t>O Serviço Online poderá não oferecer suporte à retenção ou à extração do software fornecido pelo Cliente. A Microsoft não tem nenhuma obrigação referente à exclusão dos Dados do Cliente, dos Dados de Serviços Profissionais ou dos Dados Pessoais, conforme descrito nesta seção.</w:t>
      </w:r>
    </w:p>
    <w:p w14:paraId="45F905F9" w14:textId="77777777" w:rsidR="00C85435" w:rsidRPr="00FC77AC"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112504331"/>
      <w:r>
        <w:t>Compromisso de Confidencialidade do Processador</w:t>
      </w:r>
      <w:bookmarkEnd w:id="117"/>
      <w:bookmarkEnd w:id="118"/>
      <w:bookmarkEnd w:id="119"/>
      <w:bookmarkEnd w:id="120"/>
      <w:bookmarkEnd w:id="121"/>
      <w:bookmarkEnd w:id="122"/>
    </w:p>
    <w:p w14:paraId="7D66EA6F" w14:textId="62DAA7D7" w:rsidR="00C85435" w:rsidRPr="00FC77AC" w:rsidRDefault="00C85435" w:rsidP="00DD6D76">
      <w:pPr>
        <w:pStyle w:val="ProductList-Body"/>
        <w:spacing w:after="120"/>
      </w:pPr>
      <w:r>
        <w:t>A Microsoft garantirá que sua equipe envolvida no processamento de Dados do Cliente, dos Dados de Serviços Profissionais e dos Dados Pessoais (i) processará esses dados somente segundo as instruções do Cliente ou conforme descrito neste DPA e (ii) será obrigada a manter a confidencialidade e a segurança desses dados, mesmo depois do término da contratação.</w:t>
      </w:r>
      <w:r>
        <w:rPr>
          <w:rFonts w:cstheme="minorHAnsi"/>
        </w:rPr>
        <w:t xml:space="preserve"> A Microsoft </w:t>
      </w:r>
      <w:r>
        <w:rPr>
          <w:rFonts w:cstheme="minorHAnsi"/>
          <w:color w:val="000000"/>
        </w:rPr>
        <w:t xml:space="preserve">deverá fornecer treinamento periódico e obrigatório de privacidade e segurança de dados e conscientização aos seus funcionários com acesso a Dados do Cliente, Dados de Serviços Profissionais e Dados Pessoais </w:t>
      </w:r>
      <w:r>
        <w:rPr>
          <w:rFonts w:cstheme="minorHAnsi"/>
        </w:rPr>
        <w:t>de acordo com os Requisitos de Proteção de Dados aplicáveis e as normas do setor.</w:t>
      </w:r>
    </w:p>
    <w:p w14:paraId="6107E638" w14:textId="77777777" w:rsidR="00C85435" w:rsidRPr="00FC77AC"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112504332"/>
      <w:r>
        <w:t>Notificações e Controles sobre o uso de Subprocessadores</w:t>
      </w:r>
      <w:bookmarkEnd w:id="123"/>
      <w:bookmarkEnd w:id="124"/>
      <w:bookmarkEnd w:id="125"/>
      <w:bookmarkEnd w:id="126"/>
      <w:bookmarkEnd w:id="127"/>
      <w:bookmarkEnd w:id="128"/>
    </w:p>
    <w:p w14:paraId="750C4F12" w14:textId="1086DCF8" w:rsidR="00DD6D76" w:rsidRPr="00FC77AC" w:rsidRDefault="00DD6D76" w:rsidP="00DD6D76">
      <w:pPr>
        <w:pStyle w:val="ProductList-Body"/>
        <w:spacing w:after="120"/>
      </w:pPr>
      <w:r>
        <w:t xml:space="preserve">A Microsoft poderá empregar Subprocessadores para prestar determinados serviços limitados ou secundários em seu nome. O Cliente concorda com essa contratação e das Afiliadas Microsoft como Subprocessadoras. As autorizações acima constituirão a autorização prévia por escrito pelo Cliente da subcontratação pela Microsoft do processamento de Dados do Cliente, Dados de Serviços Profissionais e Dados Pessoais caso o referido consentimento seja exigido nos termos das Cláusulas Contratuais Padrão ou nos Termos do GDPR. </w:t>
      </w:r>
    </w:p>
    <w:p w14:paraId="74425EEC" w14:textId="09F4EC7C" w:rsidR="00DD6D76" w:rsidRPr="00FC77AC" w:rsidRDefault="00DD6D76" w:rsidP="00DD6D76">
      <w:pPr>
        <w:pStyle w:val="ProductList-Body"/>
        <w:spacing w:after="120"/>
      </w:pPr>
      <w:r>
        <w:t>A Microsoft é responsável pela conformidade com as obrigações da Microsoft por parte dos respectivos Subprocessadores neste DPA. A Microsoft disponibiliza informações sobre Subprocessadores em um site da Microsoft. Ao contratar qualquer Subprocessador, a Microsoft garantirá, mediante contrato por escrito, que o Subprocessador poderá acessar e usar os Dados do Cliente, Dados de Serviços Profissionais ou Dados Pessoais apenas para prestar serviços pelos quais foram contratados pela Microsoft, e ele está proibido de usar os Dados do Cliente, Dados de Serviços Profissionais ou os Dados Pessoais para qualquer outra finalidade. A Microsoft garantirá que os Subprocessadores estejam vinculados por contratos escritos que exigem que eles forneçam pelo menos o nível de proteção de dados exigido da Microsoft segundo o DPA, incluindo as limitações de divulgação dos Dados Processados. A Microsoft concorda em supervisionar os Subprocessadores para garantir que essas obrigações contratuais sejam cumpridas.</w:t>
      </w:r>
    </w:p>
    <w:p w14:paraId="6A08B1D3" w14:textId="4A6298D9" w:rsidR="00444FB7" w:rsidRPr="00FC77AC" w:rsidRDefault="002E2256" w:rsidP="00DD6D76">
      <w:pPr>
        <w:pStyle w:val="ProductList-Body"/>
        <w:spacing w:after="120"/>
      </w:pPr>
      <w:r>
        <w:t>Periodicamente, a Microsoft poderá contratar novos Subprocessadores. A Microsoft notificará o Cliente e, se aplicável, atualizará o site e fornecerá ao Cliente um mecanismo para obter uma notificação dessa atualização sobre qualquer novo Subprocessador, no mínimo, 6 meses antes de fornecer acesso aos Dados do Cliente para esse Subprocessador. Além disso, a Microsoft notificará o Cliente e, se aplicável, atualizará o site e fornecerá ao Cliente um mecanismo para obter uma notificação dessa atualização sobre qualquer novo Subprocessador, no mínimo, 30 dias antes de fornecer acesso aos Dados de Serviços Profissionais ou Dados Pessoais para esse Subprocessador, exceto os contidos nos Dados do Cliente. Se a Microsoft contratar um novo Subprocessador para um novo Produto ou Serviço Profissional que processe Dados do Cliente, Dados de Serviços Profissionais ou Dados Pessoais, a Microsoft notificará o Cliente antes da disponibilidade desse Produto ou Serviço Profissional.</w:t>
      </w:r>
    </w:p>
    <w:p w14:paraId="1DA7F6BB" w14:textId="598D8793" w:rsidR="00C97102" w:rsidRPr="00FC77AC" w:rsidRDefault="00C85435" w:rsidP="007829B6">
      <w:pPr>
        <w:pStyle w:val="ProductList-Body"/>
        <w:spacing w:after="120"/>
      </w:pPr>
      <w:r>
        <w:t xml:space="preserve">Se o Cliente não aprovar um novo Subprocessador para um Serviço Online ou Serviços Profissionais, o Cliente poderá rescindir qualquer assinatura do Serviço Online afetado ou as Declarações de Serviço aplicáveis do Serviço Profissional aplicável, respectivamente, sem multa ou valor de rescisão, antes do término do período de notificação relevante, fornecendo uma notificação por escrito da rescisão. Se o Cliente não aprovar um novo Subprocessador para Software, e o Cliente não puder evitar de maneira razoável o uso do Subprocessador impedindo a Microsoft de processar dados conforme estabelecido na documentação ou neste DPA, o Cliente poderá rescindir qualquer licença para o produto de software afetado sem penalidades, fornecendo, antes do final do período de notificação relevante, uma notificação por escrito da rescisão. O Cliente também poderá incluir uma explicação das bases para a não aprovação junto com a notificação de término a fim de permitir que a Microsoft reavalie esse novo Subprocessador com base nos interesses aplicáveis. Se o Produto afetado for parte de um pacote (ou de uma única compra de serviços semelhante), então o término se aplicará ao pacote inteiro. Depois do término, a Microsoft removerá as obrigações de pagamento para quaisquer assinaturas ou outro trabalho não pago aplicável dos Produtos ou Serviços rescindidos das faturas subsequentes do Cliente ou de seu revendedor. </w:t>
      </w:r>
    </w:p>
    <w:p w14:paraId="1A19C45B" w14:textId="77777777" w:rsidR="00A93313" w:rsidRPr="00FC77AC" w:rsidRDefault="00A93313" w:rsidP="00C35BD5">
      <w:pPr>
        <w:pStyle w:val="ProductList-Body"/>
        <w:spacing w:after="120"/>
        <w:ind w:left="180"/>
      </w:pPr>
      <w:bookmarkStart w:id="129" w:name="_Hlk79502497"/>
    </w:p>
    <w:p w14:paraId="01E4B1F7" w14:textId="205CCCFF" w:rsidR="00C85435" w:rsidRPr="00FC77AC" w:rsidRDefault="00C85435" w:rsidP="002A4A50">
      <w:pPr>
        <w:pStyle w:val="ProductList-SubSubSectionHeading"/>
        <w:keepNext/>
        <w:spacing w:after="120"/>
        <w:outlineLvl w:val="1"/>
      </w:pPr>
      <w:bookmarkStart w:id="130" w:name="_Toc507768559"/>
      <w:bookmarkStart w:id="131" w:name="_Toc8395019"/>
      <w:bookmarkStart w:id="132" w:name="_Toc6563808"/>
      <w:bookmarkStart w:id="133" w:name="_Toc21617026"/>
      <w:bookmarkStart w:id="134" w:name="_Toc26972861"/>
      <w:bookmarkStart w:id="135" w:name="_Toc112504333"/>
      <w:bookmarkStart w:id="136" w:name="_Toc489605586"/>
      <w:bookmarkEnd w:id="129"/>
      <w:r>
        <w:t>Instituições Educacionais</w:t>
      </w:r>
      <w:bookmarkEnd w:id="130"/>
      <w:bookmarkEnd w:id="131"/>
      <w:bookmarkEnd w:id="132"/>
      <w:bookmarkEnd w:id="133"/>
      <w:bookmarkEnd w:id="134"/>
      <w:bookmarkEnd w:id="135"/>
    </w:p>
    <w:p w14:paraId="3D8C03D5" w14:textId="35DA9DB4" w:rsidR="00C85435" w:rsidRPr="00FC77AC" w:rsidRDefault="00C85435" w:rsidP="007829B6">
      <w:pPr>
        <w:pStyle w:val="ProductList-Body"/>
        <w:spacing w:after="120"/>
      </w:pPr>
      <w:r>
        <w:t>Se o Cliente for um órgão ou uma instituição educacional ao qual os regulamentos da Family Educational Rights and Privacy Act, 20 U.S.C. § 1232g (FERPA) se aplicam, a Microsoft reconhece que, para as finalidades destes DPA, a Microsoft será designada como um “oficial School” com “interesses educacionais legítimos” nos Dados do Cliente e Dados de Serviços Profissionais, uma vez que esses termos foram definidos de acordo com a FERPA e seus regulamentos de implementação, e a Microsoft concorda em cumprir as limitações e as exigências impostas pelo 34 CFR 99.33(a) a oficiais School.</w:t>
      </w:r>
    </w:p>
    <w:p w14:paraId="3F7BD793" w14:textId="560D7DD5" w:rsidR="00C85435" w:rsidRPr="00FC77AC" w:rsidRDefault="00C85435" w:rsidP="007829B6">
      <w:pPr>
        <w:pStyle w:val="ProductList-Body"/>
        <w:spacing w:after="120"/>
      </w:pPr>
      <w:r>
        <w:t>O Cliente entende que a Microsoft pode ter informações limitadas ou nenhuma informação de contato dos alunos e dos pais dos alunos do Cliente. Como resultado, o Cliente será responsável por obter a autorização dos pais, que pode ser exigida pela lei aplicável, para uso dos Produtos e Serviços por parte de qualquer usuário final, e fornecer uma notificação em nome da Microsoft aos alunos (ou, em relação a um aluno menor de 18 anos e que não esteja frequentando uma instituição de ensino superior, ao pai do aluno) de qualquer ordem judicial ou intimação emitida legalmente exigindo a divulgação dos Dados do Cliente e Dados de Serviços Profissionais em poder da Microsoft, conforme exigido pela lei aplicável.</w:t>
      </w:r>
    </w:p>
    <w:p w14:paraId="53D69FEB" w14:textId="77777777" w:rsidR="00C85435" w:rsidRPr="00FC77AC" w:rsidRDefault="00C85435" w:rsidP="002A4A50">
      <w:pPr>
        <w:pStyle w:val="ProductList-SubSubSectionHeading"/>
        <w:keepNext/>
        <w:spacing w:after="120"/>
        <w:outlineLvl w:val="1"/>
      </w:pPr>
      <w:bookmarkStart w:id="137" w:name="_Toc16510372"/>
      <w:bookmarkStart w:id="138" w:name="_Toc21617027"/>
      <w:bookmarkStart w:id="139" w:name="_Toc112504334"/>
      <w:bookmarkStart w:id="140" w:name="CJISCustomerAgreement"/>
      <w:r>
        <w:t>Contrato do Cliente do CJIS</w:t>
      </w:r>
      <w:bookmarkEnd w:id="137"/>
      <w:bookmarkEnd w:id="138"/>
      <w:bookmarkEnd w:id="139"/>
    </w:p>
    <w:bookmarkEnd w:id="140"/>
    <w:p w14:paraId="6BC1D88E" w14:textId="3C3B5B98" w:rsidR="00C85435" w:rsidRPr="00FC77AC" w:rsidRDefault="00C85435" w:rsidP="00DD6D76">
      <w:pPr>
        <w:pStyle w:val="ProductList-Body"/>
        <w:spacing w:after="120"/>
      </w:pPr>
      <w:r>
        <w:t xml:space="preserve">A Microsoft fornece determinados serviços de nuvem do governo (“Serviços Cobertos”) de acordo com a Política de Segurança sobre o FBI Criminal Justice Information Services (“CJIS“) (“Política sobre o CJIS”). A Política sobre o CJIS rege o uso e a transmissão de informações sobre a justiça criminal. Todos os Serviços Cobertos do CJIS da Microsoft serão regidos pelos termos e condições do Contrato do Cliente do CJIS localizado aqui: </w:t>
      </w:r>
      <w:hyperlink r:id="rId22" w:history="1">
        <w:r w:rsidR="00474AED" w:rsidRPr="00544E73">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41" w:name="_Toc8395020"/>
      <w:bookmarkStart w:id="142" w:name="_Toc6563809"/>
      <w:bookmarkStart w:id="143" w:name="_Toc21617028"/>
      <w:bookmarkStart w:id="144" w:name="_Toc26972862"/>
      <w:bookmarkStart w:id="145" w:name="_Toc112504335"/>
      <w:bookmarkStart w:id="146" w:name="HIPPA"/>
      <w:r>
        <w:t>Parceiro Comercial HIPPA</w:t>
      </w:r>
      <w:bookmarkEnd w:id="141"/>
      <w:bookmarkEnd w:id="142"/>
      <w:bookmarkEnd w:id="143"/>
      <w:bookmarkEnd w:id="144"/>
      <w:bookmarkEnd w:id="145"/>
    </w:p>
    <w:bookmarkEnd w:id="146"/>
    <w:p w14:paraId="0E8CBC6B" w14:textId="2373CD64" w:rsidR="00C85435" w:rsidRPr="00FC77AC" w:rsidRDefault="00C85435" w:rsidP="00DD6D76">
      <w:pPr>
        <w:pStyle w:val="ProductList-Body"/>
        <w:spacing w:after="120"/>
      </w:pPr>
      <w:r>
        <w:t xml:space="preserve">Se o Cliente for uma “entidade coberta” ou um “associado comercial” e incluir “informações de saúde protegidas” nos Dados do Cliente ou nos Dados de Serviços Profissionais, conforme esses termos são definidos na Lei de Portabilidade e Responsabilidade de Seguro Saúde de 1996, e alterações, e regulamentos promulgados nos termos deste (coletivamente, “HIPAA”), a execução do contrato de licenciamento por volume do Cliente inclui a execução do Contrato de Associado Comercial HIPAA (“BAA”). O texto completo do BAA identifica os Serviços Online ou Serviços Profissionais aos quais se aplica e está disponível em </w:t>
      </w:r>
      <w:hyperlink r:id="rId23" w:history="1">
        <w:r>
          <w:rPr>
            <w:rStyle w:val="Hyperlink"/>
          </w:rPr>
          <w:t>http://aka.ms/BAA</w:t>
        </w:r>
      </w:hyperlink>
      <w:r>
        <w:t>. O Cliente pode cancelar o BAA enviando as seguintes informações à Microsoft em um aviso por escrito (nos termos do contrato de licenciamento por volume do Cliente):</w:t>
      </w:r>
    </w:p>
    <w:p w14:paraId="4825142F" w14:textId="77777777" w:rsidR="00C85435" w:rsidRPr="00FC77AC" w:rsidRDefault="00C85435" w:rsidP="00145D29">
      <w:pPr>
        <w:pStyle w:val="ProductList-Body"/>
        <w:numPr>
          <w:ilvl w:val="0"/>
          <w:numId w:val="4"/>
        </w:numPr>
        <w:ind w:left="720"/>
      </w:pPr>
      <w:r>
        <w:t>a razão social completa do Cliente e de qualquer Afiliada que estiver recusando as cláusulas e</w:t>
      </w:r>
    </w:p>
    <w:bookmarkEnd w:id="136"/>
    <w:p w14:paraId="51843B92" w14:textId="77777777" w:rsidR="00C85435" w:rsidRPr="00FC77AC" w:rsidRDefault="00C85435" w:rsidP="00145D29">
      <w:pPr>
        <w:pStyle w:val="ProductList-Body"/>
        <w:numPr>
          <w:ilvl w:val="0"/>
          <w:numId w:val="4"/>
        </w:numPr>
        <w:spacing w:after="120"/>
        <w:ind w:left="720"/>
      </w:pPr>
      <w:r>
        <w:t>se o Cliente tiver vários contratos de licenciamento por volume, o contrato de licenciamento por volume ao qual a recusa se aplicará.</w:t>
      </w:r>
    </w:p>
    <w:p w14:paraId="43E06D60" w14:textId="2EBF7227" w:rsidR="00C85435" w:rsidRPr="00FC77AC" w:rsidRDefault="00C85435" w:rsidP="002A4A50">
      <w:pPr>
        <w:pStyle w:val="ProductList-SubSubSectionHeading"/>
        <w:keepNext/>
        <w:spacing w:after="120"/>
        <w:outlineLvl w:val="1"/>
      </w:pPr>
      <w:bookmarkStart w:id="147" w:name="_Toc26972863"/>
      <w:bookmarkStart w:id="148" w:name="_Toc112504336"/>
      <w:bookmarkStart w:id="149" w:name="_Hlk24722007"/>
      <w:bookmarkStart w:id="150" w:name="_Toc8395021"/>
      <w:bookmarkStart w:id="151" w:name="_Toc6563810"/>
      <w:bookmarkStart w:id="152" w:name="_Toc21617029"/>
      <w:r>
        <w:t>California Consumer Privacy Act (Lei de Privacidade do Consumidor da Califórnia, CCPA)</w:t>
      </w:r>
      <w:bookmarkEnd w:id="147"/>
      <w:bookmarkEnd w:id="148"/>
    </w:p>
    <w:p w14:paraId="54D15101" w14:textId="69EDA276" w:rsidR="00DD6D76" w:rsidRPr="00474AED" w:rsidRDefault="00DD6D76" w:rsidP="00DD6D76">
      <w:pPr>
        <w:pStyle w:val="ProductList-Body"/>
        <w:spacing w:after="120"/>
        <w:rPr>
          <w:spacing w:val="-2"/>
        </w:rPr>
      </w:pPr>
      <w:bookmarkStart w:id="153" w:name="_Toc26972864"/>
      <w:bookmarkEnd w:id="149"/>
      <w:r w:rsidRPr="00474AED">
        <w:rPr>
          <w:spacing w:val="-2"/>
        </w:rPr>
        <w:t>Se a Microsoft estiver processando Dados Pessoais no escopo da CCPA, ela assumirá os seguintes compromissos adicionais perante o Cliente. A Microsoft processará Dados do Cliente, Dados de Serviços Profissionais em nome do Cliente e não reterá, usará nem divulgará esses dados para nenhum fim diferente dos estabelecidos nos Termos do DPA e conforme permitido pela CCPA, incluindo qualquer isenção de “venda”. Em nenhuma circunstância, a Microsoft venderá esses dados. Estes termos da CCPA não limitam nem reduzem nenhum compromisso de proteção de dados assumido pela Microsoft em relação ao Cliente nos Termos do DPA, Termos do Produto ou em outro contrato firmado entre a Microsoft e o Cliente.</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12504337"/>
      <w:bookmarkStart w:id="156" w:name="_Hlk44323010"/>
      <w:r>
        <w:t>Dados Biométricos</w:t>
      </w:r>
      <w:bookmarkEnd w:id="154"/>
      <w:bookmarkEnd w:id="155"/>
    </w:p>
    <w:p w14:paraId="01A1DFD0" w14:textId="5A32053C" w:rsidR="00DD6D76" w:rsidRPr="00474AED" w:rsidRDefault="00DD6D76" w:rsidP="00DD6D76">
      <w:pPr>
        <w:spacing w:after="120" w:line="240" w:lineRule="auto"/>
        <w:rPr>
          <w:spacing w:val="-2"/>
        </w:rPr>
      </w:pPr>
      <w:r w:rsidRPr="00474AED">
        <w:rPr>
          <w:spacing w:val="-2"/>
          <w:sz w:val="18"/>
        </w:rPr>
        <w:t xml:space="preserve">Se o Cliente usar Produtos e Serviços para processar Dados Biométricos, o Cliente será responsável por: (i) fornecer uma notificação aos titulares de dados, inclusive com relação aos períodos de retenção e destruição; (ii) obter consentimento dos titulares de dados e (iii) excluir os Dados Biométricos, conforme apropriado e exigido segundo os Requisitos de Proteção de Dados aplicáveis. A Microsoft processará os Dados Biométricos seguindo as instruções documentadas do Cliente (conforme descrito na seção “Funções e Responsabilidades da Processadora e do Controlador” acima) e protegerá os Dados Biométricos de acordo com os termos de proteção e segurança de dados deste DPA. Para as finalidades desta seção, os “Dados Biométricos” terão o significado estabelecido no Artigo 4 do GDPR e, se aplicável, dos termos equivalentes em outros Requisitos de Proteção de Dados. </w:t>
      </w:r>
    </w:p>
    <w:p w14:paraId="0C3C5499" w14:textId="0AAF9DB1" w:rsidR="00052E8A" w:rsidRPr="00FC77AC" w:rsidRDefault="0058447F" w:rsidP="002A4A50">
      <w:pPr>
        <w:pStyle w:val="ProductList-SubSubSectionHeading"/>
        <w:keepNext/>
        <w:spacing w:after="120"/>
        <w:outlineLvl w:val="1"/>
      </w:pPr>
      <w:bookmarkStart w:id="157" w:name="_Toc112504338"/>
      <w:r>
        <w:t>Serviços Profissionais Complementares</w:t>
      </w:r>
      <w:bookmarkEnd w:id="157"/>
    </w:p>
    <w:p w14:paraId="0EAD6ADA" w14:textId="2E3182A4" w:rsidR="00460220" w:rsidRPr="00FC77AC" w:rsidRDefault="00460220" w:rsidP="002A4A50">
      <w:pPr>
        <w:pStyle w:val="ProductList-Body"/>
        <w:spacing w:after="120"/>
      </w:pPr>
      <w:r>
        <w:t>Quando usado nas seções listadas abaixo, o termo definido “Serviços Profissionais” inclui Serviços Profissionais Complementares, e o termo definido “Dados de Serviços Profissionais“ inclui dados obtidos para Serviços Profissionais Complementares.</w:t>
      </w:r>
    </w:p>
    <w:p w14:paraId="5DFAE36C" w14:textId="59B52836" w:rsidR="000A39B0" w:rsidRPr="00FC77AC" w:rsidRDefault="002E58D0" w:rsidP="002A4A50">
      <w:pPr>
        <w:pStyle w:val="ProductList-Body"/>
        <w:spacing w:after="120"/>
      </w:pPr>
      <w:r>
        <w:t xml:space="preserve">Para os Serviços Profissionais Complementares, as seguintes seções do DPA se aplicam da mesma maneira que se aplicam aos Serviços Profissionais: “Introdução”, “Conformidade com as Leis”, “Natureza do Processamento; Propriedade”, “Divulgação de Dados Processados”, “Processamento de Dados Pessoais; GDPR”, o primeiro parágrafo de “Práticas e Políticas de Segurança”, “Responsabilidades do Cliente”, “Notificação de Incidentes de Segurança”, “Transferência de Dados” (incluindo os termos relativos às Cláusulas Contratuais Padrão de 2021), o terceiro parágrafo de “Retenção e Exclusão de Dados”, “Compromisso de Confidencialidade do Processador”, “Notificação e Controles de uso de Subprocessadores”, “Parceiro Comercial HIPAA” (na medida aplicável no BAA), “California Consumer Privacy Act (Lei de Privacidade do Consumidor da Califórnia, CCPA)”, “Dados Biométricos”, “Como Entrar em Contato com a Microsoft”,“ Apêndice B - Titulares de Dados e Categorias de Dados Pessoais” e “Apêndice C - Adendo de Proteções Adicionais”. </w:t>
      </w:r>
    </w:p>
    <w:p w14:paraId="73BA0D8E" w14:textId="77777777" w:rsidR="00C85435" w:rsidRPr="00FC77AC" w:rsidRDefault="00C85435" w:rsidP="002A4A50">
      <w:pPr>
        <w:pStyle w:val="ProductList-SubSubSectionHeading"/>
        <w:keepNext/>
        <w:spacing w:after="120"/>
        <w:outlineLvl w:val="1"/>
      </w:pPr>
      <w:bookmarkStart w:id="158" w:name="_Toc112504339"/>
      <w:bookmarkEnd w:id="156"/>
      <w:r>
        <w:t>Como Entrar em Contato com a Microsoft</w:t>
      </w:r>
      <w:bookmarkEnd w:id="150"/>
      <w:bookmarkEnd w:id="151"/>
      <w:bookmarkEnd w:id="152"/>
      <w:bookmarkEnd w:id="153"/>
      <w:bookmarkEnd w:id="158"/>
    </w:p>
    <w:p w14:paraId="43A6F074" w14:textId="77777777" w:rsidR="00C85435" w:rsidRPr="00FC77AC" w:rsidRDefault="00C85435" w:rsidP="007829B6">
      <w:pPr>
        <w:pStyle w:val="ProductList-Body"/>
        <w:spacing w:after="120"/>
      </w:pPr>
      <w:r>
        <w:t xml:space="preserve">Se o Cliente acreditar que a Microsoft não está cumprindo seus compromissos de privacidade ou segurança, ele poderá entrar em contato com o atendimento ao cliente ou usar o formulário da Web Privacidade da Microsoft, localizado no site </w:t>
      </w:r>
      <w:hyperlink r:id="rId24" w:history="1">
        <w:r>
          <w:rPr>
            <w:rStyle w:val="Hyperlink"/>
          </w:rPr>
          <w:t>http://go.microsoft.com/?linkid=9846224</w:t>
        </w:r>
      </w:hyperlink>
      <w:r>
        <w:t xml:space="preserve">. O endereço de correspondência da Microsoft é: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A Microsoft Ireland Operations Limited é o representante de proteção de dados da Microsoft para a Área Econômica Europeia e Suíça. O representante de privacidade da Microsoft Ireland Operations Limited poderá ser contatado no seguinte endereço:</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Proteção de Dados</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Irlanda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Sumário</w:t>
      </w:r>
      <w:r>
        <w:fldChar w:fldCharType="end"/>
      </w:r>
      <w:r>
        <w:rPr>
          <w:sz w:val="16"/>
          <w:szCs w:val="16"/>
        </w:rPr>
        <w:t xml:space="preserve"> / </w:t>
      </w:r>
      <w:hyperlink w:anchor="GeneralTerms" w:tooltip="Termos Gerais" w:history="1">
        <w:r>
          <w:rPr>
            <w:rStyle w:val="Hyperlink"/>
            <w:sz w:val="16"/>
            <w:szCs w:val="16"/>
          </w:rPr>
          <w:t>Termos Gerais</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12504340"/>
      <w:r>
        <w:t>Apêndice A – Medidas de Segurança</w:t>
      </w:r>
      <w:bookmarkEnd w:id="163"/>
    </w:p>
    <w:p w14:paraId="142FF82A" w14:textId="2263C715" w:rsidR="006A13BF" w:rsidRPr="00FC77AC" w:rsidRDefault="006A13BF" w:rsidP="006A13BF">
      <w:pPr>
        <w:pStyle w:val="ProductList-Body"/>
        <w:spacing w:after="120"/>
      </w:pPr>
      <w:r>
        <w:t>A Microsoft implementou e manterá as medidas de segurança a seguir para os Dados do Cliente nos Serviços Online Principais e Dados de Serviços Profissionais que, em conjunto com os compromissos de segurança previstos neste DPA (incluindo os Termos do GDPR), são a única responsabilidade da Microsoft com relação à segurança desses dados.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Domínio</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Práticas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Organização da Segurança das Informações</w:t>
            </w:r>
          </w:p>
        </w:tc>
        <w:tc>
          <w:tcPr>
            <w:tcW w:w="8190" w:type="dxa"/>
          </w:tcPr>
          <w:p w14:paraId="407C8AD9" w14:textId="77777777" w:rsidR="006A13BF" w:rsidRPr="00FC77AC" w:rsidRDefault="006A13BF" w:rsidP="003452D9">
            <w:pPr>
              <w:pStyle w:val="ProductList-Body"/>
              <w:spacing w:after="120"/>
            </w:pPr>
            <w:r>
              <w:rPr>
                <w:b/>
                <w:sz w:val="16"/>
                <w:szCs w:val="16"/>
              </w:rPr>
              <w:t>Propriedade da Segurança</w:t>
            </w:r>
            <w:r w:rsidRPr="00B4539C">
              <w:rPr>
                <w:b/>
                <w:bCs/>
                <w:sz w:val="16"/>
              </w:rPr>
              <w:t>.</w:t>
            </w:r>
            <w:r>
              <w:rPr>
                <w:sz w:val="16"/>
              </w:rPr>
              <w:t xml:space="preserve"> </w:t>
            </w:r>
            <w:r>
              <w:rPr>
                <w:sz w:val="16"/>
                <w:szCs w:val="16"/>
              </w:rPr>
              <w:t>A Microsoft indicou um ou mais agentes de segurança responsáveis pela coordenação e pelo monitoramento das regras e procedimentos de segurança.</w:t>
            </w:r>
          </w:p>
          <w:p w14:paraId="04E77B5B" w14:textId="2837B313" w:rsidR="006A13BF" w:rsidRPr="00FC77AC" w:rsidRDefault="006A13BF" w:rsidP="003452D9">
            <w:pPr>
              <w:pStyle w:val="ProductList-Body"/>
              <w:spacing w:after="120"/>
            </w:pPr>
            <w:r>
              <w:rPr>
                <w:b/>
                <w:sz w:val="16"/>
                <w:szCs w:val="16"/>
              </w:rPr>
              <w:t>Funções e Responsabilidades de Segurança</w:t>
            </w:r>
            <w:r w:rsidRPr="00B4539C">
              <w:rPr>
                <w:b/>
                <w:bCs/>
                <w:sz w:val="16"/>
              </w:rPr>
              <w:t>.</w:t>
            </w:r>
            <w:r>
              <w:rPr>
                <w:sz w:val="16"/>
              </w:rPr>
              <w:t xml:space="preserve"> </w:t>
            </w:r>
            <w:r>
              <w:rPr>
                <w:sz w:val="16"/>
                <w:szCs w:val="16"/>
              </w:rPr>
              <w:t>A equipe da Microsoft com acesso aos Dados do Cliente ou Dados de Serviços Profissionais estão sujeitos a obrigações de confidencialidade.</w:t>
            </w:r>
          </w:p>
          <w:p w14:paraId="3F740157" w14:textId="22E7BB6A" w:rsidR="006A13BF" w:rsidRPr="00FC77AC" w:rsidRDefault="006A13BF" w:rsidP="003452D9">
            <w:pPr>
              <w:pStyle w:val="ProductList-Body"/>
              <w:spacing w:after="120"/>
            </w:pPr>
            <w:r>
              <w:rPr>
                <w:b/>
                <w:sz w:val="16"/>
                <w:szCs w:val="16"/>
              </w:rPr>
              <w:t>Programa de Gerenciamento de Riscos</w:t>
            </w:r>
            <w:r w:rsidRPr="00B4539C">
              <w:rPr>
                <w:b/>
                <w:bCs/>
                <w:sz w:val="16"/>
              </w:rPr>
              <w:t>.</w:t>
            </w:r>
            <w:r>
              <w:rPr>
                <w:sz w:val="16"/>
              </w:rPr>
              <w:t xml:space="preserve"> </w:t>
            </w:r>
            <w:r>
              <w:rPr>
                <w:sz w:val="16"/>
                <w:szCs w:val="16"/>
              </w:rPr>
              <w:t>A Microsoft realizou uma avaliação de risco antes de processar os Dados do Cliente ou lançar o serviço de Serviços Online e antes de processar Dados de Serviços Profissionais ou lançar os Serviços Profissionais.</w:t>
            </w:r>
          </w:p>
          <w:p w14:paraId="606431AF" w14:textId="77777777" w:rsidR="006A13BF" w:rsidRPr="000720BF" w:rsidRDefault="006A13BF" w:rsidP="003452D9">
            <w:pPr>
              <w:pStyle w:val="ProductList-Body"/>
              <w:spacing w:after="120"/>
              <w:rPr>
                <w:sz w:val="16"/>
                <w:szCs w:val="16"/>
              </w:rPr>
            </w:pPr>
            <w:r>
              <w:rPr>
                <w:sz w:val="16"/>
                <w:szCs w:val="16"/>
              </w:rPr>
              <w:t>A Microsoft mantém seus documentos de segurança relativos aos seus requisitos de retenção após o término da vigência.</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Gerenciamento de Ativos</w:t>
            </w:r>
          </w:p>
        </w:tc>
        <w:tc>
          <w:tcPr>
            <w:tcW w:w="8190" w:type="dxa"/>
          </w:tcPr>
          <w:p w14:paraId="76B7D5E1" w14:textId="6592E37E" w:rsidR="006A13BF" w:rsidRPr="00FC77AC" w:rsidRDefault="006A13BF" w:rsidP="003452D9">
            <w:pPr>
              <w:pStyle w:val="ProductList-Body"/>
              <w:spacing w:after="120"/>
            </w:pPr>
            <w:r>
              <w:rPr>
                <w:b/>
                <w:sz w:val="16"/>
                <w:szCs w:val="16"/>
              </w:rPr>
              <w:t>Inventário de Ativos</w:t>
            </w:r>
            <w:r w:rsidRPr="00B4539C">
              <w:rPr>
                <w:b/>
                <w:bCs/>
                <w:sz w:val="16"/>
              </w:rPr>
              <w:t>.</w:t>
            </w:r>
            <w:r>
              <w:rPr>
                <w:sz w:val="16"/>
              </w:rPr>
              <w:t xml:space="preserve"> </w:t>
            </w:r>
            <w:r>
              <w:rPr>
                <w:sz w:val="16"/>
                <w:szCs w:val="16"/>
              </w:rPr>
              <w:t>A Microsoft mantém um inventário de todas as mídias nas quais os Dados do Cliente ou Dados de Serviços Profissionais estão armazenados. O acesso aos inventários dessas mídias é restrito à equipe da Microsoft autorizada por escrito a ter esse acesso.</w:t>
            </w:r>
          </w:p>
          <w:p w14:paraId="05950E28" w14:textId="77777777" w:rsidR="006A13BF" w:rsidRPr="00FC77AC" w:rsidRDefault="006A13BF" w:rsidP="003452D9">
            <w:pPr>
              <w:pStyle w:val="ProductList-Body"/>
              <w:keepNext/>
              <w:spacing w:after="120"/>
            </w:pPr>
            <w:r>
              <w:rPr>
                <w:b/>
                <w:sz w:val="16"/>
                <w:szCs w:val="16"/>
              </w:rPr>
              <w:t>Manuseio de Ativos</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A Microsoft classifica os Dados do Cliente e os Dados de Serviços Profissionais para ajudar a identificá-los e a restringir adequadamente o acesso a eles.</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A Microsoft impõe restrições à impressão dos Dados do Cliente e Dados de Serviços Profissionais e tem procedimentos para descarte de materiais impressos que contenham os referidos dados.</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A equipe da Microsoft deve obter autorização da Microsoft antes de armazenar os Dados do Cliente ou os Dados de Serviços Profissionais em dispositivos portáteis, acessá-los remotamente ou processá-los fora das instalações da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Segurança dos Recursos Humanos</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Treinamento de Segurança</w:t>
            </w:r>
            <w:r w:rsidRPr="00B4539C">
              <w:rPr>
                <w:b/>
                <w:bCs/>
                <w:sz w:val="16"/>
                <w:szCs w:val="16"/>
              </w:rPr>
              <w:t>.</w:t>
            </w:r>
            <w:r>
              <w:rPr>
                <w:sz w:val="16"/>
                <w:szCs w:val="16"/>
              </w:rPr>
              <w:t xml:space="preserve"> A Microsoft informa seu pessoal sobre procedimentos de segurança relevantes e suas respectivas funções. A Microsoft também informa seu pessoal sobre as possíveis consequências da violação das regras e procedimentos de segurança. A Microsoft usará apenas dados anônimos em treinamentos.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Segurança Física e Ambiental</w:t>
            </w:r>
          </w:p>
        </w:tc>
        <w:tc>
          <w:tcPr>
            <w:tcW w:w="8190" w:type="dxa"/>
          </w:tcPr>
          <w:p w14:paraId="281C4F79" w14:textId="4E2D4E17" w:rsidR="006A13BF" w:rsidRPr="00FC77AC" w:rsidRDefault="006A13BF" w:rsidP="003452D9">
            <w:pPr>
              <w:pStyle w:val="ProductList-Body"/>
              <w:spacing w:after="120"/>
            </w:pPr>
            <w:r>
              <w:rPr>
                <w:b/>
                <w:sz w:val="16"/>
                <w:szCs w:val="16"/>
              </w:rPr>
              <w:t>Acesso Físico a Instalações</w:t>
            </w:r>
            <w:r w:rsidRPr="00B4539C">
              <w:rPr>
                <w:b/>
                <w:bCs/>
                <w:sz w:val="16"/>
              </w:rPr>
              <w:t>.</w:t>
            </w:r>
            <w:r>
              <w:rPr>
                <w:sz w:val="16"/>
              </w:rPr>
              <w:t xml:space="preserve"> </w:t>
            </w:r>
            <w:r>
              <w:rPr>
                <w:sz w:val="16"/>
                <w:szCs w:val="16"/>
              </w:rPr>
              <w:t>A Microsoft limita a indivíduos autorizados identificados o acesso às instalações nas quais os sistemas de informação que processam os Dados do Cliente ou os Dados de Serviços Profissionais estão localizados.</w:t>
            </w:r>
          </w:p>
          <w:p w14:paraId="6121A4AE" w14:textId="5F97BAC5" w:rsidR="006A13BF" w:rsidRPr="00FC77AC" w:rsidRDefault="006A13BF" w:rsidP="003452D9">
            <w:pPr>
              <w:pStyle w:val="ProductList-Body"/>
              <w:spacing w:after="120"/>
            </w:pPr>
            <w:r>
              <w:rPr>
                <w:b/>
                <w:sz w:val="16"/>
                <w:szCs w:val="16"/>
              </w:rPr>
              <w:t>Acesso Físico a Componentes</w:t>
            </w:r>
            <w:r w:rsidRPr="00B4539C">
              <w:rPr>
                <w:b/>
                <w:bCs/>
                <w:sz w:val="16"/>
              </w:rPr>
              <w:t>.</w:t>
            </w:r>
            <w:r>
              <w:rPr>
                <w:sz w:val="16"/>
              </w:rPr>
              <w:t xml:space="preserve"> </w:t>
            </w:r>
            <w:r>
              <w:rPr>
                <w:sz w:val="16"/>
                <w:szCs w:val="16"/>
              </w:rPr>
              <w:t>A Microsoft mantém registros sobre a saída e a entrada de mídias que contenham Dados do Cliente ou Dados de Serviços Profissionais, inclusive o tipo de mídia, os remetentes/destinatários autorizados, a data e a hora, o número de mídias e os tipos desses dados que elas contêm.</w:t>
            </w:r>
          </w:p>
          <w:p w14:paraId="62B78B3D" w14:textId="77777777" w:rsidR="006A13BF" w:rsidRPr="00FC77AC" w:rsidRDefault="006A13BF" w:rsidP="003452D9">
            <w:pPr>
              <w:pStyle w:val="ProductList-Body"/>
              <w:spacing w:after="120"/>
            </w:pPr>
            <w:r>
              <w:rPr>
                <w:b/>
                <w:sz w:val="16"/>
                <w:szCs w:val="16"/>
              </w:rPr>
              <w:t>Proteção contra Interrupções</w:t>
            </w:r>
            <w:r w:rsidRPr="00B4539C">
              <w:rPr>
                <w:b/>
                <w:bCs/>
                <w:sz w:val="16"/>
              </w:rPr>
              <w:t>.</w:t>
            </w:r>
            <w:r>
              <w:rPr>
                <w:sz w:val="16"/>
              </w:rPr>
              <w:t xml:space="preserve"> </w:t>
            </w:r>
            <w:r>
              <w:rPr>
                <w:sz w:val="16"/>
                <w:szCs w:val="16"/>
              </w:rPr>
              <w:t>A Microsoft usa uma variedade de sistemas padrão do setor para se proteger contra a perda de dados devido a falhas na fonte de alimentação ou interferências de linha.</w:t>
            </w:r>
          </w:p>
          <w:p w14:paraId="36658FCF" w14:textId="5AE4FA2C" w:rsidR="006A13BF" w:rsidRPr="000720BF" w:rsidRDefault="006A13BF" w:rsidP="003452D9">
            <w:pPr>
              <w:pStyle w:val="ProductList-Body"/>
              <w:spacing w:after="120"/>
              <w:rPr>
                <w:sz w:val="16"/>
                <w:szCs w:val="16"/>
              </w:rPr>
            </w:pPr>
            <w:r>
              <w:rPr>
                <w:b/>
                <w:sz w:val="16"/>
                <w:szCs w:val="16"/>
              </w:rPr>
              <w:t>Descarte de Componentes</w:t>
            </w:r>
            <w:r w:rsidRPr="00B4539C">
              <w:rPr>
                <w:b/>
                <w:bCs/>
                <w:sz w:val="16"/>
              </w:rPr>
              <w:t>.</w:t>
            </w:r>
            <w:r>
              <w:rPr>
                <w:sz w:val="16"/>
              </w:rPr>
              <w:t xml:space="preserve"> </w:t>
            </w:r>
            <w:r>
              <w:rPr>
                <w:sz w:val="16"/>
                <w:szCs w:val="16"/>
              </w:rPr>
              <w:t>A Microsoft usa processos padrão do setor para excluir Dados do Cliente e Dados de Serviços Profissionais quando não são mais necessários.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Gerenciamento de Comunicações e Operações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Política Operacional</w:t>
            </w:r>
            <w:r w:rsidRPr="00B4539C">
              <w:rPr>
                <w:b/>
                <w:bCs/>
                <w:sz w:val="16"/>
                <w:szCs w:val="16"/>
              </w:rPr>
              <w:t>.</w:t>
            </w:r>
            <w:r>
              <w:rPr>
                <w:sz w:val="16"/>
                <w:szCs w:val="16"/>
              </w:rPr>
              <w:t xml:space="preserve"> A Microsoft mantém documentos de segurança descrevendo suas medidas de segurança e os procedimentos relevantes e responsabilidades de sua equipe com acesso aos Dados do Cliente e Dados de Serviços Profissionais.</w:t>
            </w:r>
          </w:p>
          <w:p w14:paraId="7E2D8550" w14:textId="77777777" w:rsidR="006A13BF" w:rsidRPr="00FC77AC" w:rsidRDefault="006A13BF" w:rsidP="003452D9">
            <w:pPr>
              <w:pStyle w:val="ProductList-Body"/>
              <w:spacing w:after="120"/>
            </w:pPr>
            <w:r>
              <w:rPr>
                <w:b/>
                <w:sz w:val="16"/>
                <w:szCs w:val="16"/>
              </w:rPr>
              <w:t>Procedimentos de Recuperação de Dados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Em uma base contínua, mas com uma frequência mínima de uma vez por semana (a menos que tenham ocorrido atualizações durante esse período), a Microsoft mantém várias cópias dos Dados do Cliente e dos Dados de Serviços Profissionais das quais esses podem ser recuperados.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A Microsoft armazena cópias dos Dados do Cliente e Dados de Serviços Profissionais e os procedimentos de recuperação de dados em outro local que não seja onde se localiza o computador principal que processa os Dados do Cliente e Dados de Serviços Profissionais.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A Microsoft tem em vigor procedimentos específicos que regem o acesso a cópias dos Dados do Cliente e Dados de Serviços Profissionais.</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A Microsoft revisa os procedimentos de recuperação de dados pelo menos a cada seis meses, com exceção dos procedimentos para recuperação de dados dos Serviços Profissionais e para Serviços Governamentais do Azure, que são revisados a cada 12 meses.</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A Microsoft registra esforços de restauração de dados, inclusive a pessoa responsável, a descrição dos dados restaurados e, quando aplicável, a pessoa responsável e quais dados (se houver) foi necessário inserir manualmente no processo de recuperação de dados.</w:t>
            </w:r>
          </w:p>
          <w:p w14:paraId="40B0318F" w14:textId="4334BDF4" w:rsidR="006A13BF" w:rsidRPr="00FC77AC" w:rsidRDefault="006A13BF" w:rsidP="003452D9">
            <w:pPr>
              <w:pStyle w:val="ProductList-Body"/>
              <w:spacing w:after="120"/>
            </w:pPr>
            <w:r>
              <w:rPr>
                <w:b/>
                <w:sz w:val="16"/>
                <w:szCs w:val="16"/>
              </w:rPr>
              <w:t>Software Mal-intencionado</w:t>
            </w:r>
            <w:r w:rsidRPr="00B4539C">
              <w:rPr>
                <w:b/>
                <w:bCs/>
                <w:sz w:val="16"/>
                <w:szCs w:val="16"/>
              </w:rPr>
              <w:t>.</w:t>
            </w:r>
            <w:r>
              <w:rPr>
                <w:sz w:val="16"/>
                <w:szCs w:val="16"/>
              </w:rPr>
              <w:t xml:space="preserve"> A Microsoft tem controles antimalware que ajudam a impedir que software mal-intencionado obtenha acesso não autorizado aos Dados do Cliente e Dados de Serviços Profissionais, inclusive software mal-intencionado originado de redes públicas.</w:t>
            </w:r>
          </w:p>
          <w:p w14:paraId="426A2233" w14:textId="77777777" w:rsidR="006A13BF" w:rsidRPr="00FC77AC" w:rsidRDefault="006A13BF" w:rsidP="003452D9">
            <w:pPr>
              <w:pStyle w:val="ProductList-Body"/>
              <w:spacing w:after="120"/>
            </w:pPr>
            <w:r>
              <w:rPr>
                <w:b/>
                <w:sz w:val="16"/>
                <w:szCs w:val="16"/>
              </w:rPr>
              <w:t>Transferência de Dados para Além dos Limites</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A Microsoft criptografa, ou permite que o Cliente criptografe, os Dados do Cliente e Dados de Serviços Profissionais transmitidos por redes públicas.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Dados de Serviços Profissionais em mídias que deixam suas instalações.</w:t>
            </w:r>
          </w:p>
          <w:p w14:paraId="6B5787D7" w14:textId="1F458867" w:rsidR="006A13BF" w:rsidRPr="000720BF" w:rsidRDefault="006A13BF" w:rsidP="003452D9">
            <w:pPr>
              <w:pStyle w:val="ProductList-Body"/>
              <w:spacing w:after="120"/>
              <w:rPr>
                <w:sz w:val="16"/>
                <w:szCs w:val="16"/>
              </w:rPr>
            </w:pPr>
            <w:r>
              <w:rPr>
                <w:b/>
                <w:sz w:val="16"/>
                <w:szCs w:val="16"/>
              </w:rPr>
              <w:t>Registro de Eventos</w:t>
            </w:r>
            <w:r w:rsidRPr="00B4539C">
              <w:rPr>
                <w:b/>
                <w:bCs/>
                <w:sz w:val="16"/>
                <w:szCs w:val="16"/>
              </w:rPr>
              <w:t>.</w:t>
            </w:r>
            <w:r>
              <w:rPr>
                <w:sz w:val="16"/>
                <w:szCs w:val="16"/>
              </w:rPr>
              <w:t xml:space="preserve"> A Microsoft registra, ou permite que o Cliente registre, o acesso e o uso de sistemas de informações contendo os Dados do Cliente ou Dados de Serviços Profissionais, registrando o ID de acesso, a hora, a autorização concedida ou negada e a atividade relevante.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Controle de Acesso</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Política de Acesso</w:t>
            </w:r>
            <w:r w:rsidRPr="00B4539C">
              <w:rPr>
                <w:b/>
                <w:bCs/>
                <w:sz w:val="16"/>
                <w:szCs w:val="16"/>
              </w:rPr>
              <w:t>.</w:t>
            </w:r>
            <w:r>
              <w:rPr>
                <w:sz w:val="16"/>
                <w:szCs w:val="16"/>
              </w:rPr>
              <w:t xml:space="preserve"> A Microsoft mantém um registro de privilégio de segurança de indivíduos que têm acesso aos Dados do Cliente ou Dados de Serviços Profissionais.</w:t>
            </w:r>
          </w:p>
          <w:p w14:paraId="2090F4FF" w14:textId="77777777" w:rsidR="006A13BF" w:rsidRPr="00FC77AC" w:rsidRDefault="006A13BF" w:rsidP="003452D9">
            <w:pPr>
              <w:pStyle w:val="ProductList-Body"/>
              <w:spacing w:after="120"/>
            </w:pPr>
            <w:r>
              <w:rPr>
                <w:b/>
                <w:sz w:val="16"/>
                <w:szCs w:val="16"/>
              </w:rPr>
              <w:t>Autorização de Acesso</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A Microsoft mantém e atualiza um registro da equipe autorizada a acessar os sistemas da Microsoft que contêm Dados do Cliente ou Dados de Serviços Profissionais.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A Microsoft desativa as credenciais de autenticação que não foram usadas por um período de até seis meses.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A Microsoft identifica o pessoal que pode conceder, alterar ou cancelar acesso autorizado a dados e recursos.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A Microsoft garante que quando mais de um indivíduo tiver acesso aos sistemas que contêm os Dados do Cliente ou Dados de Serviços Profissionais, os indivíduos terão logins/identificadores separados.</w:t>
            </w:r>
          </w:p>
          <w:p w14:paraId="58546188" w14:textId="77777777" w:rsidR="006A13BF" w:rsidRPr="00FC77AC" w:rsidRDefault="006A13BF" w:rsidP="003452D9">
            <w:pPr>
              <w:pStyle w:val="ProductList-Body"/>
              <w:spacing w:after="120"/>
            </w:pPr>
            <w:r>
              <w:rPr>
                <w:b/>
                <w:sz w:val="16"/>
                <w:szCs w:val="16"/>
              </w:rPr>
              <w:t>Privilégios Mínimos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 pessoal de suporte técnico é autorizado a acessar os Dados do Cliente e Dados de Serviços Profissionais somente quando necessário.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A Microsoft restringe o acesso aos Dados do Cliente e Dados de Serviços Profissionais apenas aos indivíduos que precisam de tal acesso para executar suas funções.</w:t>
            </w:r>
          </w:p>
          <w:p w14:paraId="017B44EE" w14:textId="77777777" w:rsidR="006A13BF" w:rsidRPr="00FC77AC" w:rsidRDefault="006A13BF" w:rsidP="003452D9">
            <w:pPr>
              <w:pStyle w:val="ProductList-Body"/>
              <w:spacing w:after="120"/>
            </w:pPr>
            <w:r>
              <w:rPr>
                <w:b/>
                <w:sz w:val="16"/>
                <w:szCs w:val="16"/>
              </w:rPr>
              <w:t>Integridade e Confidencialidade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A Microsoft instrui seu pessoal a desativar sessões administrativas ao deixarem as instalações controladas pela Microsoft ou quando os computadores são, de outra forma, deixados sem supervisão.</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A Microsoft armazena senhas de uma forma que as torna ininteligíveis enquanto elas estiverem em vigor.</w:t>
            </w:r>
          </w:p>
          <w:p w14:paraId="10F1FE79" w14:textId="77777777" w:rsidR="006A13BF" w:rsidRPr="00FC77AC" w:rsidRDefault="006A13BF" w:rsidP="003452D9">
            <w:pPr>
              <w:pStyle w:val="ProductList-Body"/>
              <w:spacing w:after="120"/>
            </w:pPr>
            <w:r>
              <w:rPr>
                <w:b/>
                <w:sz w:val="16"/>
                <w:szCs w:val="16"/>
              </w:rPr>
              <w:t>Autenticação</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A Microsoft usa práticas padrão do setor para identificar e autenticar usuários que tentam acessar sistemas de informação.</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as senhas sejam renovadas regularmente.</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Quando os mecanismos de autenticação são baseados em senha, a Microsoft exige que a senha tenha, pelo menos, oito caracteres.</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A Microsoft garante que identificadores desativados ou expirados não sejam concedidos a outros indivíduos.</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A Microsoft monitora, ou permite que o Cliente monitore, as tentativas repetidas de obtenção de acesso ao sistema de informação com senhas inválidas.</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A Microsoft mantém procedimentos padrão do setor para desativar senhas que tenham sido corrompidas ou divulgadas acidentalmente.</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A Microsoft usa práticas de proteção de senhas padrão do setor, inclusive práticas destinadas a manter a confidencialidade e a integridade de senhas quando estas são cedidas e distribuídas, e durante o armazenamento.</w:t>
            </w:r>
          </w:p>
          <w:p w14:paraId="09AB0889" w14:textId="269DF757" w:rsidR="006A13BF" w:rsidRPr="000720BF" w:rsidRDefault="006A13BF" w:rsidP="003452D9">
            <w:pPr>
              <w:pStyle w:val="ProductList-Body"/>
              <w:spacing w:after="120"/>
              <w:rPr>
                <w:sz w:val="16"/>
                <w:szCs w:val="16"/>
              </w:rPr>
            </w:pPr>
            <w:r>
              <w:rPr>
                <w:b/>
                <w:sz w:val="16"/>
                <w:szCs w:val="16"/>
              </w:rPr>
              <w:t>Projeto de Rede</w:t>
            </w:r>
            <w:r w:rsidRPr="00B4539C">
              <w:rPr>
                <w:b/>
                <w:bCs/>
                <w:sz w:val="16"/>
                <w:szCs w:val="16"/>
              </w:rPr>
              <w:t>.</w:t>
            </w:r>
            <w:r>
              <w:rPr>
                <w:sz w:val="16"/>
                <w:szCs w:val="16"/>
              </w:rPr>
              <w:t xml:space="preserve"> A Microsoft tem controles para impedir que indivíduos assumam direitos de acesso não cedidos a eles para obter acesso aos Dados do Cliente e Dados de Serviços Profissionais que eles não estejam autorizados a acessar.</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Gerenciamento de Incidentes de Segurança de Informação</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Processo de Resposta a Incidentes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A Microsoft mantém um registro de violações de segurança com uma descrição da violação, o período, as consequências, o nome do autor da denúncia e a quem a violação foi denunciada, bem como o </w:t>
            </w:r>
            <w:r>
              <w:rPr>
                <w:color w:val="000000" w:themeColor="text1"/>
                <w:sz w:val="16"/>
              </w:rPr>
              <w:t>procedimento de recuperação de dados.</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Para cada violação de segurança que seja um Incidente de Segurança, a notificação pela Microsoft (conforme descrito na seção “Notificação de Incidentes de Segurança” acima) será feita sem atraso indevido e, em qualquer caso, em 72 horas</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A Microsoft controla</w:t>
            </w:r>
            <w:r>
              <w:rPr>
                <w:color w:val="000000" w:themeColor="text1"/>
                <w:sz w:val="16"/>
                <w:szCs w:val="16"/>
              </w:rPr>
              <w:t xml:space="preserve">, ou permite </w:t>
            </w:r>
            <w:r>
              <w:rPr>
                <w:sz w:val="16"/>
                <w:szCs w:val="16"/>
              </w:rPr>
              <w:t>que o Cliente controle, as divulgações de Dados do Cliente e Dados de Serviços Profissionais, inclusive quais dados foram divulgados, para quem e a que horas.</w:t>
            </w:r>
          </w:p>
          <w:p w14:paraId="2C3CC5E2" w14:textId="77777777" w:rsidR="006A13BF" w:rsidRPr="000720BF" w:rsidRDefault="006A13BF" w:rsidP="003452D9">
            <w:pPr>
              <w:pStyle w:val="ProductList-Body"/>
              <w:spacing w:after="120"/>
              <w:rPr>
                <w:sz w:val="16"/>
                <w:szCs w:val="16"/>
              </w:rPr>
            </w:pPr>
            <w:r>
              <w:rPr>
                <w:b/>
                <w:sz w:val="16"/>
                <w:szCs w:val="16"/>
              </w:rPr>
              <w:t>Monitoramento dos Serviços</w:t>
            </w:r>
            <w:r w:rsidRPr="00B4539C">
              <w:rPr>
                <w:b/>
                <w:bCs/>
                <w:sz w:val="16"/>
                <w:szCs w:val="16"/>
              </w:rPr>
              <w:t>.</w:t>
            </w:r>
            <w:r>
              <w:rPr>
                <w:sz w:val="16"/>
                <w:szCs w:val="16"/>
              </w:rPr>
              <w:t xml:space="preserve"> O pessoal de segurança da Microsoft verifica os logs, pelo menos, semestralmente, a fim de propor esforços de reparação, se necessário.</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Gerenciamento da Continuidade dos Negócios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A Microsoft mantém planos de emergência e de contingência para as instalações onde se localizam os sistemas de informação da Microsoft que processam os Dados do Cliente e Dados de Serviços Profissionais.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O armazenamento redundante da Microsoft e seus procedimentos para recuperação de dados destinam-se a tentar reconstruir os Dados do Cliente e Dados de Serviços Profissionais ao estado original ou da última replicação antes da perda ou da destruição.</w:t>
            </w:r>
          </w:p>
        </w:tc>
      </w:tr>
    </w:tbl>
    <w:p w14:paraId="169292B0" w14:textId="77777777" w:rsidR="006A13BF" w:rsidRPr="00FC77AC" w:rsidRDefault="006A13BF" w:rsidP="006A13BF">
      <w:pPr>
        <w:pStyle w:val="ProductList-Body"/>
        <w:spacing w:after="120"/>
      </w:pPr>
    </w:p>
    <w:p w14:paraId="10122163" w14:textId="77777777" w:rsidR="006A13BF" w:rsidRPr="00FC77AC" w:rsidRDefault="00AB741D" w:rsidP="006A13BF">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12504341"/>
      <w:bookmarkStart w:id="165" w:name="_Toc8395062"/>
      <w:bookmarkStart w:id="166" w:name="_Toc6563850"/>
      <w:bookmarkStart w:id="167" w:name="_Toc21617071"/>
      <w:bookmarkStart w:id="168" w:name="_Toc26972866"/>
      <w:r>
        <w:t>Apêndice B - Titulares dos Dados e Categorias de Dados Pessoais</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B31C8E" w:rsidRDefault="00AA349D" w:rsidP="00AA349D">
      <w:pPr>
        <w:pStyle w:val="ProductList-Body"/>
        <w:spacing w:after="120"/>
        <w:rPr>
          <w:spacing w:val="-3"/>
        </w:rPr>
      </w:pPr>
      <w:r w:rsidRPr="00B31C8E">
        <w:rPr>
          <w:b/>
          <w:spacing w:val="-3"/>
        </w:rPr>
        <w:t>Titulares dos dados</w:t>
      </w:r>
      <w:r w:rsidRPr="00B31C8E">
        <w:rPr>
          <w:b/>
          <w:bCs/>
          <w:spacing w:val="-3"/>
        </w:rPr>
        <w:t>:</w:t>
      </w:r>
      <w:r w:rsidRPr="00B31C8E">
        <w:rPr>
          <w:spacing w:val="-3"/>
        </w:rPr>
        <w:t xml:space="preserve"> Os titulares dos dados incluem os representantes do Cliente e os usuários finais, incluindo funcionários, prestadores de serviços, colaboradores e clientes do Cliente. Os titulares dos dados também podem incluir indivíduos que tentam comunicar ou transferir informações pessoais a usuários dos serviços fornecidos pela Microsoft. </w:t>
      </w:r>
      <w:r w:rsidRPr="00B31C8E">
        <w:rPr>
          <w:rFonts w:cstheme="minorHAnsi"/>
          <w:spacing w:val="-3"/>
          <w:szCs w:val="18"/>
        </w:rPr>
        <w:t>A Microsoft reconhece que, dependendo do uso que o Cliente fizer dos Produtos e Serviços, o Cliente poderá optar por incluir dados pessoais de qualquer um dos seguintes tipos de titulares de dados nos dados pessoais: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Funcionários, prestadores de serviços e trabalhadores temporários (atuais, antigos, futuros) do Cliente;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Dependentes dos indivíduos acima;</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Os colaboradores/pessoas de contato do Cliente ou funcionários, prestadores de serviços ou trabalhadores temporários de colaboradores/pessoas de contato da pessoa jurídica (atuais, em potencial, antigos);</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Usuários (por exemplo, clientes, pacientes, visitantes, etc.) e outros titulares de dados que sejam usuários dos serviços do Cliente;</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Parceiros, partes interessadas ou indivíduos que colaboram ativamente, se comunicam ou interagem de outra forma com funcionários do Cliente e/ou usam ferramentas de comunicação, como aplicativos e sites fornecidos pelo Cliente;</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Partes interessadas ou indivíduos que interagem passivamente com o Cliente (por exemplo, porque estão sujeitos a uma investigação, uma pesquisa ou são mencionados em documentos ou correspondências de ou para o Cliente);</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Menores ou</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Profissionais com privilégios profissionais (por exemplo, médicos, advogados, tabeliães, trabalhadores religiosos, etc.).</w:t>
      </w:r>
    </w:p>
    <w:p w14:paraId="2014DE8F" w14:textId="7A9D04FF" w:rsidR="00AA349D" w:rsidRPr="00FC77AC" w:rsidRDefault="00AA349D" w:rsidP="00AA349D">
      <w:pPr>
        <w:pStyle w:val="ProductList-Body"/>
        <w:spacing w:after="120"/>
      </w:pPr>
      <w:r>
        <w:rPr>
          <w:b/>
        </w:rPr>
        <w:t>Categorias de dados</w:t>
      </w:r>
      <w:r w:rsidRPr="005A5AB5">
        <w:rPr>
          <w:b/>
          <w:bCs/>
        </w:rPr>
        <w:t>:</w:t>
      </w:r>
      <w:r>
        <w:t xml:space="preserve"> Os dados pessoais que estão incluídos em email, documentos e outros dados em um formato eletrônico no contexto dos Produtos e Serviços.</w:t>
      </w:r>
      <w:r w:rsidR="00E5742F">
        <w:t xml:space="preserve"> </w:t>
      </w:r>
      <w:r>
        <w:rPr>
          <w:rFonts w:eastAsia="Times New Roman" w:cstheme="minorHAnsi"/>
          <w:color w:val="212121"/>
          <w:szCs w:val="18"/>
        </w:rPr>
        <w:t>A Microsoft reconhece que, dependendo do uso que o Cliente fizer dos Produtos e Serviços, o Cliente poderá optar por incluir dados pessoais de qualquer uma das seguintes categorias nos dados pessoais: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pessoais básicos (por exemplo, local de nascimento, nome da rua e número da casa (endereço), CEP, cidade de residência, país de residência, número do telefone celular, nome, sobrenome, iniciais, endereço de email, sexo, data de nascimento), incluindo dados pessoais básicos sobre os familiares e filhos;</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autenticação (por exemplo, nome do usuário, senha ou código PIN, pergunta de segurança, trilha de auditoria);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de contato (por exemplo, endereços, email, números de telefone, identificadores de mídias sociais; detalhes do contato de emergência);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Números de identificação exclusiva e assinaturas (por exemplo, número da Seguridade Social, número da conta bancária, número da carteira de identidade e do passaporte, número da CNH e dados de registro do cliente, endereços IP, número do funcionário, número do aluno, número do paciente, assinatura, identificador exclusivo em cookies de rastreamento ou tecnologia semelhante);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Identificadores sob pseudônimo;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financeiras e de seguro (por exemplo, número do seguro, nome e número da conta bancária, nome e número do cartão de crédito, número da fatura, renda, tipo de garantia, comportamento de pagamento, credibilidade);</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Informações comerciais (por exemplo, histórico de compras, ofertas especiais, informações de assinatura, histórico de pagamentos);</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biométricas (por exemplo, DNA, impressões digitais e verificações da íris);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local (por exemplo, ID da célula, dados de rede de geolocalização, local por chamada inicial/fim da chamada. Dados de local gerados pelo uso de pontos de acesso de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Fotos, vídeo e áudio;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Atividade de Internet (por exemplo, histórico de navegação, histórico de pesquisa, leitura, atividades de ouvir rádio e assistir à TV);</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Identificação do dispositivo (por exemplo, número IMEI, número do cartão SIM, endereço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Criação de perfil (por exemplo, com base em perfis sob pseudônimo, comportamento antissocial ou criminal observados com base nos URLs visitados, fluxos de cliques, logs de navegação, endereços IP, domínios, aplicativos instalados ou perfis com base em preferências de marketing);</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RH e recrutamento (por exemplo, declaração de status de contratação, informações de recrutamento (como currículo, histórico de contratação, detalhes do histórico educacional), dados de trabalhos e cargos, incluindo horas trabalhadas, avaliações e salário, detalhes de licença de trabalho, disponibilidade, termos de contratação, detalhes fiscais, detalhes de pagamento, detalhes de seguro, local e organizações);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Dados de formação (por exemplo, histórico educacional, formação atual, notas e resultados, o maior grau conquistado, deficiência de aprendizado);</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da cidadania e residência (por exemplo, cidadania, status de naturalização, estado civil, nacionalidade, status de imigração, dados do passaporte, detalhes da residência e licença de trabalho);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Informações processadas para o desempenho de uma tarefa realizada para o interesse público ou no exercício de uma autoridade oficial;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Categorias de dados especiais (por exemplo, origem racial ou étnica, opiniões políticas, crenças religiosas ou filosóficas, associação a sindicatos, dados genéticos, dados biométricos para a finalidade exclusiva de identificar um indivíduo, dados referentes a saúde, dados referentes à vida sexual ou à orientação sexual de um indivíduo ou dados relacionados a condenações criminais ou ofensas) ou</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Quaisquer outros dados pessoais identificados no Artigo 4 do GDPR.</w:t>
      </w:r>
    </w:p>
    <w:p w14:paraId="75698AE4" w14:textId="6782D5F1"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12504342"/>
      <w:r>
        <w:t>Apêndice C - Adendo de Proteções Adicionais</w:t>
      </w:r>
      <w:bookmarkEnd w:id="169"/>
    </w:p>
    <w:p w14:paraId="5FD578E1" w14:textId="357EC3F5" w:rsidR="004D5D88" w:rsidRPr="00FC77AC" w:rsidRDefault="004D5D88" w:rsidP="004D5D88">
      <w:pPr>
        <w:pStyle w:val="ProductList-Body"/>
        <w:spacing w:after="120"/>
      </w:pPr>
      <w:r>
        <w:t xml:space="preserve">Por meio deste Adendo de Proteções Adicionais ao DPA (este “Adendo“), a Microsoft fornece proteções adicionais ao Cliente para o processamento de dados pessoais, no âmbito do GDPR, pela Microsoft em nome do Cliente e reparação adicional aos titulares dos dados aos quais a que se referem os dados pessoais. </w:t>
      </w:r>
    </w:p>
    <w:p w14:paraId="1B8B2B27" w14:textId="6B0F7B02" w:rsidR="004D5D88" w:rsidRPr="00FC77AC" w:rsidRDefault="004D5D88" w:rsidP="004D5D88">
      <w:pPr>
        <w:pStyle w:val="ProductList-Body"/>
        <w:spacing w:after="120"/>
      </w:pPr>
      <w:r>
        <w:t>Este Adendo complementa e faz parte, mas não é uma variação ou modificação, do DPA.</w:t>
      </w:r>
    </w:p>
    <w:p w14:paraId="450341B9" w14:textId="7CB975CC" w:rsidR="004D5D88" w:rsidRPr="00FC77AC" w:rsidRDefault="004D5D88" w:rsidP="004D5D88">
      <w:pPr>
        <w:pStyle w:val="ProductList-Body"/>
        <w:numPr>
          <w:ilvl w:val="0"/>
          <w:numId w:val="10"/>
        </w:numPr>
        <w:spacing w:after="120"/>
        <w:ind w:left="0" w:firstLine="0"/>
      </w:pPr>
      <w:r>
        <w:rPr>
          <w:b/>
          <w:bCs/>
          <w:u w:val="single"/>
        </w:rPr>
        <w:t>Contestação de Pedidos</w:t>
      </w:r>
      <w:r w:rsidRPr="005A5AB5">
        <w:rPr>
          <w:b/>
          <w:bCs/>
        </w:rPr>
        <w:t>.</w:t>
      </w:r>
      <w:r>
        <w:t xml:space="preserve"> Caso a Microsoft receba um pedido de terceiros para divulgação forçada de quaisquer dados pessoais processados de acordo com este DPA, a Microsoft deverá:</w:t>
      </w:r>
    </w:p>
    <w:p w14:paraId="28FD25C8" w14:textId="406D1571" w:rsidR="004D5D88" w:rsidRPr="00FC77AC" w:rsidRDefault="004D5D88" w:rsidP="004D5D88">
      <w:pPr>
        <w:pStyle w:val="ProductList-Body"/>
        <w:numPr>
          <w:ilvl w:val="0"/>
          <w:numId w:val="16"/>
        </w:numPr>
        <w:spacing w:after="120"/>
      </w:pPr>
      <w:r>
        <w:t>envidar todos os esforços razoáveis para redirecionar o terceiro a solicitar dados diretamente do Cliente;</w:t>
      </w:r>
      <w:r w:rsidR="00E5742F">
        <w:t xml:space="preserve"> </w:t>
      </w:r>
    </w:p>
    <w:p w14:paraId="129F3FC1" w14:textId="57D79769" w:rsidR="004D5D88" w:rsidRPr="00FC77AC" w:rsidRDefault="004D5D88" w:rsidP="004D5D88">
      <w:pPr>
        <w:pStyle w:val="ProductList-Body"/>
        <w:numPr>
          <w:ilvl w:val="0"/>
          <w:numId w:val="16"/>
        </w:numPr>
        <w:spacing w:after="120"/>
      </w:pPr>
      <w:r>
        <w:t>notificar imediatamente o Cliente, a menos que proibido pela lei aplicável ao terceiro solicitante e, se proibida de notificar o Cliente, envidar todos os esforços legais para obter o direito de renunciar à proibição a fim de fornecer o máximo de informações ao Cliente o mais rápido possível; e</w:t>
      </w:r>
    </w:p>
    <w:p w14:paraId="31D3C6B0" w14:textId="28E5AC5D" w:rsidR="000B341C" w:rsidRPr="00FC77AC" w:rsidRDefault="004D5D88" w:rsidP="004D5D88">
      <w:pPr>
        <w:pStyle w:val="ProductList-Body"/>
        <w:numPr>
          <w:ilvl w:val="0"/>
          <w:numId w:val="16"/>
        </w:numPr>
        <w:spacing w:after="120"/>
      </w:pPr>
      <w:r>
        <w:t>envidar todos os esforços legais para contestar o pedido de divulgação com base em quaisquer inadimplências jurídicas segundo a legislação da parte requerente ou quaisquer conflitos pertinentes com a lei aplicável da União Europeia ou a lei aplicável dos Estados Membros.</w:t>
      </w:r>
      <w:r w:rsidR="00E5742F">
        <w:t xml:space="preserve"> </w:t>
      </w:r>
    </w:p>
    <w:p w14:paraId="025D7747" w14:textId="0F034107" w:rsidR="004D5D88" w:rsidRPr="00FC77AC" w:rsidRDefault="006E33EC" w:rsidP="008C5792">
      <w:pPr>
        <w:pStyle w:val="ProductList-Body"/>
        <w:spacing w:after="120"/>
      </w:pPr>
      <w:r>
        <w:t>Se, após as etapas descritas nos itens a. a c. acima, a Microsoft ou qualquer de suas afiliadas permanecerem obrigadas a divulgar dados pessoais, a Microsoft divulgará apenas a quantidade mínima necessária desses dados para atender ao pedido de divulgação obrigatória.</w:t>
      </w:r>
    </w:p>
    <w:p w14:paraId="56B5A00E" w14:textId="6E171C05" w:rsidR="004D5D88" w:rsidRPr="00FC77AC" w:rsidRDefault="004D5D88" w:rsidP="004D5D88">
      <w:pPr>
        <w:pStyle w:val="ProductList-Body"/>
        <w:spacing w:after="120"/>
      </w:pPr>
      <w:r>
        <w:t>Para fins desta seção, esforços legais não incluem ações que resultariam em penalidades civis ou criminais, como desacato ao tribunal de acordo com as leis da jurisdição em questão.</w:t>
      </w:r>
      <w:r w:rsidR="00E5742F">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Indenização dos Titulares dos Dados</w:t>
      </w:r>
      <w:r w:rsidRPr="007B3658">
        <w:rPr>
          <w:b/>
          <w:bCs/>
        </w:rPr>
        <w:t>.</w:t>
      </w:r>
      <w:r>
        <w:t xml:space="preserve"> Sujeito às Seções 3 e 4, a Microsoft deverá indenizar o titular dos dados por qualquer dano, material ou imaterial, causado pela divulgação de dados pessoais do titular dos dados que tenham sido transferidos em resposta ao pedido de um órgão governamental ou agência de aplicação da lei não pertencente à UE/EEE em violação das obrigações da Microsoft de acordo com o Capítulo V do GDPR (uma “Divulgação Pertinente“). Não obstante o supracitado, a Microsoft não terá nenhuma obrigação de indenizar o titular dos dados de acordo com esta Cláusula 2, na medida em que o titular dos dados já tenha recebido compensação pelos mesmos danos, seja da Microsoft ou de outro modo.</w:t>
      </w:r>
    </w:p>
    <w:p w14:paraId="347888F0" w14:textId="77777777" w:rsidR="004D5D88" w:rsidRPr="00FC77AC" w:rsidRDefault="004D5D88" w:rsidP="004D5D88">
      <w:pPr>
        <w:pStyle w:val="ProductList-Body"/>
        <w:numPr>
          <w:ilvl w:val="0"/>
          <w:numId w:val="10"/>
        </w:numPr>
        <w:spacing w:after="120"/>
        <w:ind w:left="0" w:firstLine="0"/>
      </w:pPr>
      <w:r>
        <w:rPr>
          <w:b/>
          <w:bCs/>
          <w:u w:val="single"/>
        </w:rPr>
        <w:t>Condições de Indenização</w:t>
      </w:r>
      <w:r w:rsidRPr="007B3658">
        <w:rPr>
          <w:b/>
          <w:bCs/>
        </w:rPr>
        <w:t>.</w:t>
      </w:r>
      <w:r>
        <w:t xml:space="preserve"> A indenização nos termos da Seção 2 está condicionada ao fato de o titular dos dados estabelecer, para satisfação razoável da Microsoft, que:</w:t>
      </w:r>
    </w:p>
    <w:p w14:paraId="0F2A1C8F" w14:textId="77777777" w:rsidR="004D5D88" w:rsidRPr="00FC77AC" w:rsidRDefault="004D5D88" w:rsidP="004D5D88">
      <w:pPr>
        <w:pStyle w:val="ProductList-Body"/>
        <w:numPr>
          <w:ilvl w:val="0"/>
          <w:numId w:val="17"/>
        </w:numPr>
        <w:spacing w:after="120"/>
      </w:pPr>
      <w:r>
        <w:t xml:space="preserve">a Microsoft tenha participado de uma Divulgação Pertinente; </w:t>
      </w:r>
    </w:p>
    <w:p w14:paraId="5D96445B" w14:textId="77777777" w:rsidR="004D5D88" w:rsidRPr="00FC77AC" w:rsidRDefault="004D5D88" w:rsidP="004D5D88">
      <w:pPr>
        <w:pStyle w:val="ProductList-Body"/>
        <w:numPr>
          <w:ilvl w:val="0"/>
          <w:numId w:val="17"/>
        </w:numPr>
        <w:spacing w:after="120"/>
      </w:pPr>
      <w:r>
        <w:t>a Divulgação Pertinente tenha sido base do processo oficial de um órgão governamental não pertencente à UE/EEE ou agência de aplicação da lei contra o titular dos dados; e</w:t>
      </w:r>
    </w:p>
    <w:p w14:paraId="68C94FEA" w14:textId="77777777" w:rsidR="004D5D88" w:rsidRPr="00FC77AC" w:rsidRDefault="004D5D88" w:rsidP="004D5D88">
      <w:pPr>
        <w:pStyle w:val="ProductList-Body"/>
        <w:numPr>
          <w:ilvl w:val="0"/>
          <w:numId w:val="17"/>
        </w:numPr>
        <w:spacing w:after="120"/>
      </w:pPr>
      <w:r>
        <w:t>a Divulgação Pertinente tenha feito com que o titular dos dados sofresse diretamente danos materiais ou imateriais.</w:t>
      </w:r>
    </w:p>
    <w:p w14:paraId="0E0BC3B0" w14:textId="77777777" w:rsidR="004D5D88" w:rsidRPr="00FC77AC" w:rsidRDefault="004D5D88" w:rsidP="004D5D88">
      <w:pPr>
        <w:pStyle w:val="ProductList-Body"/>
        <w:spacing w:after="120"/>
      </w:pPr>
      <w:r>
        <w:t>O titular dos dados tem o ónus da prova referente às condições A a C.</w:t>
      </w:r>
    </w:p>
    <w:p w14:paraId="745EFE31" w14:textId="77777777" w:rsidR="004D5D88" w:rsidRPr="00FC77AC" w:rsidRDefault="004D5D88" w:rsidP="004D5D88">
      <w:pPr>
        <w:pStyle w:val="ProductList-Body"/>
        <w:spacing w:after="120"/>
      </w:pPr>
      <w:r>
        <w:t xml:space="preserve">Não obstante o acima exposto, a Microsoft não terá nenhuma obrigação de indenizar o titular dos dados de acordo com a Seção 2 caso a Microsoft estabeleça que a Divulgação Pertinente não violou suas obrigações de acordo com o Capítulo V do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Escopo dos Danos</w:t>
      </w:r>
      <w:r w:rsidRPr="007B3658">
        <w:rPr>
          <w:b/>
          <w:bCs/>
        </w:rPr>
        <w:t>.</w:t>
      </w:r>
      <w:r>
        <w:t xml:space="preserve"> A indenização de acordo com a Seção 2 é limitada a danos materiais e imateriais, conforme previsto no GDPR, e exclui danos consequenciais e todos os outros danos não resultantes de violação do GDPR pela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Exercício de Direitos</w:t>
      </w:r>
      <w:r w:rsidRPr="00BA4E58">
        <w:rPr>
          <w:b/>
          <w:bCs/>
        </w:rPr>
        <w:t>.</w:t>
      </w:r>
      <w:r>
        <w:t xml:space="preserve"> Os direitos concedidos aos titulares dos dados nos termos deste Adendo podem ser aplicados pelo titular dos dados contra a Microsoft, independentemente de qualquer restrição nas Cláusulas 3 ou 6 das Cláusulas Contratuais Padrão. O titular dos dados só pode apresentar um requerimento judicial ou extrajudicial segundo este Adendo de forma individual, sem fazer parte de uma ação coletiva, de grupo ou representativa. Os direitos concedidos aos titulares dos dados nos termos deste Adendo são pessoais do titular dos dados e não podem ser objeto de cessão.</w:t>
      </w:r>
    </w:p>
    <w:p w14:paraId="57411504" w14:textId="340D3186" w:rsidR="004D5D88" w:rsidRPr="00FC77AC" w:rsidRDefault="004D5D88" w:rsidP="004D5D88">
      <w:pPr>
        <w:pStyle w:val="ProductList-Body"/>
        <w:numPr>
          <w:ilvl w:val="0"/>
          <w:numId w:val="10"/>
        </w:numPr>
        <w:spacing w:after="120"/>
        <w:ind w:left="0" w:firstLine="0"/>
      </w:pPr>
      <w:r>
        <w:rPr>
          <w:b/>
          <w:bCs/>
          <w:u w:val="single"/>
        </w:rPr>
        <w:t>Notificação de Alteração</w:t>
      </w:r>
      <w:r w:rsidRPr="00BA4E58">
        <w:rPr>
          <w:b/>
          <w:bCs/>
        </w:rPr>
        <w:t>.</w:t>
      </w:r>
      <w:r>
        <w:t xml:space="preserve"> A Microsoft concorda e garante que não tem motivos para acreditar que a legislação aplicável a ela ou a seus subprocessadores, incluindo em qualquer país para o qual os dados pessoais sejam transferidos por conta própria ou por meio de um subprocessador, evite que ela cumpra as instruções recebidas do Cliente e suas obrigações nos termos deste Adendo ou das Cláusulas Contratuais Padrão de 2021 e que, no caso de uma alteração nesta legislação, que provavelmente terá um efeito adverso substancial sobre as garantias e obrigações fornecidas por este Adendo ou as Cláusulas Contratuais Padrão, ela notificará imediatamente a mudança ao Cliente assim que tiver conhecimento, caso em que o Cliente terá o direito de suspender a transferência de dados e/ou rescindir o contrato.</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12504343"/>
      <w:bookmarkEnd w:id="170"/>
      <w:bookmarkEnd w:id="171"/>
      <w:bookmarkEnd w:id="172"/>
      <w:bookmarkEnd w:id="173"/>
      <w:bookmarkEnd w:id="174"/>
      <w:r>
        <w:t>Anexo 1 – Termos do Regulamento Geral de Proteção de Dados da União Europeia</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A Microsoft compromete-se a estes Termos do GDPR perante todos os clientes a partir de 25 de maio de 2018. Esses compromissos obrigarão a Microsoft com relação ao Cliente independentemente (1) da versão dos Termos do Produto e DPA que seja de outro modo aplicável a qualquer licença ou assinatura de Produto ou (2) de qualquer outro contrato que faça referência a este anexo.</w:t>
      </w:r>
    </w:p>
    <w:p w14:paraId="1696638F" w14:textId="705305FB" w:rsidR="00237427" w:rsidRPr="00FC77AC" w:rsidRDefault="00DD6D76" w:rsidP="00237427">
      <w:pPr>
        <w:pStyle w:val="ProductList-Body"/>
        <w:spacing w:after="120"/>
      </w:pPr>
      <w:bookmarkStart w:id="182" w:name="_Hlk24455530"/>
      <w:r>
        <w:t>Para fins destes Termos do GDPR, o Cliente e a Microsoft concordam que o Cliente seja o controlador dos Dados Pessoais e a Microsoft seja a processadora de tais dados, exceto quando o Cliente agir como processador de Dados Pessoais, caso em que a Microsoft será uma subprocessadora. Estes Termos do GDPR se aplicam ao processamento dos Dados Pessoais dentro do escopo do GDPR por parte da Microsoft em nome do Cliente. Estes Termos do GDPR não limitam nem reduzem nenhum compromisso de proteção de dados feito pela Microsoft em relação ao Cliente nos Termos do Produto ou em outro contrato firmado entre a Microsoft e o Cliente. Estes Termos do GDPR não serão aplicáveis se a Microsoft for uma controladora de Dados Pessoais.</w:t>
      </w:r>
      <w:bookmarkEnd w:id="182"/>
    </w:p>
    <w:p w14:paraId="26AB09BF" w14:textId="77777777" w:rsidR="00237427" w:rsidRPr="00FC77AC" w:rsidRDefault="00237427" w:rsidP="00237427">
      <w:pPr>
        <w:pStyle w:val="ProductList-Body"/>
        <w:spacing w:after="120"/>
        <w:outlineLvl w:val="1"/>
      </w:pPr>
      <w:bookmarkStart w:id="183" w:name="_Toc26972907"/>
      <w:r>
        <w:rPr>
          <w:b/>
          <w:color w:val="00188F"/>
        </w:rPr>
        <w:t>Obrigações Relevantes do GDPR: Artigos 28, 32 e 33</w:t>
      </w:r>
      <w:bookmarkEnd w:id="183"/>
    </w:p>
    <w:p w14:paraId="78427D4D" w14:textId="03FDBCFF" w:rsidR="00237427" w:rsidRPr="00FC77AC" w:rsidRDefault="00237427" w:rsidP="00237427">
      <w:pPr>
        <w:pStyle w:val="ProductList-Body"/>
        <w:spacing w:after="120"/>
        <w:ind w:left="158"/>
      </w:pPr>
      <w:r>
        <w:rPr>
          <w:b/>
        </w:rPr>
        <w:t xml:space="preserve">1. </w:t>
      </w:r>
      <w:r>
        <w:t>A Microsoft não deverá envolver outro processador sem prévia autorização por escrito específica ou geral do Cliente. No caso da autorização por escrito geral, a Microsoft deverá informar ao Cliente de qualquer intenção de alteração quanto à adição ou substituição de outros processadores, dando ao Cliente a oportunidade de contestar tais alterações. (Artigo 28(2))</w:t>
      </w:r>
    </w:p>
    <w:p w14:paraId="29CDF5CD" w14:textId="77777777" w:rsidR="00237427" w:rsidRPr="00FC77AC" w:rsidRDefault="00237427" w:rsidP="00237427">
      <w:pPr>
        <w:pStyle w:val="ProductList-Body"/>
        <w:spacing w:after="120"/>
        <w:ind w:left="158"/>
      </w:pPr>
      <w:r>
        <w:rPr>
          <w:b/>
        </w:rPr>
        <w:t>2.</w:t>
      </w:r>
      <w:r>
        <w:t xml:space="preserve"> O processamento pela Microsoft deverá ser regido por estes Termos do GDPR na União Europeia (doravante “União”) ou lei do Estado Membro e estão vinculados à Microsoft com relação ao Cliente. O objeto e a duração do processamento, a natureza e a finalidade do processamento, o tipo de Dados Pessoais, as categorias dos titulares de dados, além das obrigações e dos direitos do Cliente, são estabelecidos no contrato de licenciamento do Cliente, incluindo estes Termos do GDPR. Especificamente, a Microsoft deverá: </w:t>
      </w:r>
    </w:p>
    <w:p w14:paraId="5D5B72A4" w14:textId="23CDB89A" w:rsidR="00237427" w:rsidRPr="00FC77AC" w:rsidRDefault="00237427" w:rsidP="00237427">
      <w:pPr>
        <w:pStyle w:val="ProductList-Body"/>
        <w:spacing w:after="120"/>
        <w:ind w:left="1440" w:hanging="720"/>
      </w:pPr>
      <w:r>
        <w:rPr>
          <w:b/>
        </w:rPr>
        <w:t>(a)</w:t>
      </w:r>
      <w:r>
        <w:tab/>
        <w:t xml:space="preserve">processar os Dados Pessoais somente segundo as instruções documentadas do Cliente, inclusive com relação às transferências de Dados Pessoais a um terceiro país ou a uma organização internacional, a menos que seja obrigado a fazê-lo pela lei do Estado Membro ou da União à qual a Microsoft está sujeita; nesse caso, a Microsoft deverá informar ao Cliente a exigência legal antes do processamento, a menos que a lei proíba tal informação de acordo com bases importantes de interesse público; </w:t>
      </w:r>
    </w:p>
    <w:p w14:paraId="1849EE20" w14:textId="4488310D" w:rsidR="00237427" w:rsidRPr="00FC77AC" w:rsidRDefault="00237427" w:rsidP="00237427">
      <w:pPr>
        <w:pStyle w:val="ProductList-Body"/>
        <w:spacing w:after="120"/>
        <w:ind w:left="1440" w:hanging="720"/>
      </w:pPr>
      <w:r>
        <w:rPr>
          <w:b/>
        </w:rPr>
        <w:t>(b)</w:t>
      </w:r>
      <w:r>
        <w:tab/>
        <w:t xml:space="preserve">garantir que pessoas autorizadas a processar os Dados Pessoais se comprometam com a confidencialidade ou estejam sujeitas a uma obrigação legal de confidencialidade apropriada; </w:t>
      </w:r>
    </w:p>
    <w:p w14:paraId="6740EE5B" w14:textId="77777777" w:rsidR="00237427" w:rsidRPr="00FC77AC" w:rsidRDefault="00237427" w:rsidP="00237427">
      <w:pPr>
        <w:pStyle w:val="ProductList-Body"/>
        <w:spacing w:after="120"/>
        <w:ind w:left="720"/>
      </w:pPr>
      <w:r>
        <w:rPr>
          <w:b/>
        </w:rPr>
        <w:t>(c)</w:t>
      </w:r>
      <w:r>
        <w:tab/>
        <w:t xml:space="preserve">executar todas as medidas exigidas de acordo com o Artigo 32 do GDPR; </w:t>
      </w:r>
    </w:p>
    <w:p w14:paraId="410503C2" w14:textId="77777777" w:rsidR="00237427" w:rsidRPr="00FC77AC" w:rsidRDefault="00237427" w:rsidP="00237427">
      <w:pPr>
        <w:pStyle w:val="ProductList-Body"/>
        <w:spacing w:after="120"/>
        <w:ind w:left="720"/>
      </w:pPr>
      <w:r>
        <w:rPr>
          <w:b/>
        </w:rPr>
        <w:t>(d)</w:t>
      </w:r>
      <w:r>
        <w:tab/>
        <w:t xml:space="preserve">respeitar as condições mencionadas nos parágrafos 1 e 3 para contratar outro processador; </w:t>
      </w:r>
    </w:p>
    <w:p w14:paraId="786DF620" w14:textId="24AC0837" w:rsidR="00237427" w:rsidRPr="00FC77AC" w:rsidRDefault="00237427" w:rsidP="00237427">
      <w:pPr>
        <w:pStyle w:val="ProductList-Body"/>
        <w:spacing w:after="120"/>
        <w:ind w:left="1440" w:hanging="720"/>
      </w:pPr>
      <w:r>
        <w:rPr>
          <w:b/>
        </w:rPr>
        <w:t>(e)</w:t>
      </w:r>
      <w:r>
        <w:tab/>
        <w:t xml:space="preserve">levando em conta a natureza do processamento, auxiliar o Cliente nas medidas organizacionais e técnicas apropriadas, na medida em que isso seja possível, para o cumprimento da obrigação do Cliente em responder a solicitações para exercer os direitos do titular dos dados estabelecidos no Capítulo III do GDPR; </w:t>
      </w:r>
    </w:p>
    <w:p w14:paraId="2D8822DC" w14:textId="77777777" w:rsidR="00237427" w:rsidRPr="00FC77AC" w:rsidRDefault="00237427" w:rsidP="00237427">
      <w:pPr>
        <w:pStyle w:val="ProductList-Body"/>
        <w:spacing w:after="120"/>
        <w:ind w:left="1440" w:hanging="720"/>
      </w:pPr>
      <w:r>
        <w:rPr>
          <w:b/>
        </w:rPr>
        <w:t>(f)</w:t>
      </w:r>
      <w:r>
        <w:tab/>
        <w:t>auxiliar o Cliente em garantir a conformidade com as obrigações de acordo com os Artigos 32 a 36 do GDPR, levando em conta a natureza do processamento e as informações disponíveis para a Microsoft;</w:t>
      </w:r>
    </w:p>
    <w:p w14:paraId="5AAE27DD" w14:textId="77777777" w:rsidR="00237427" w:rsidRPr="00FC77AC" w:rsidRDefault="00237427" w:rsidP="00237427">
      <w:pPr>
        <w:pStyle w:val="ProductList-Body"/>
        <w:spacing w:after="120"/>
        <w:ind w:left="1440" w:hanging="720"/>
      </w:pPr>
      <w:r>
        <w:rPr>
          <w:b/>
        </w:rPr>
        <w:t>(g)</w:t>
      </w:r>
      <w:r>
        <w:tab/>
        <w:t xml:space="preserve">a critério do Cliente, excluir ou devolver todos os Dados Pessoais ao Cliente depois do final da prestação de serviços com relação ao processamento e excluir as cópias existentes, a menos que a lei do Estado Membro ou da União exija o armazenamento dos Dados Pessoais; </w:t>
      </w:r>
    </w:p>
    <w:p w14:paraId="663C303C" w14:textId="77777777" w:rsidR="00237427" w:rsidRPr="00FC77AC" w:rsidRDefault="00237427" w:rsidP="00237427">
      <w:pPr>
        <w:pStyle w:val="ProductList-Body"/>
        <w:spacing w:after="120"/>
        <w:ind w:left="1440" w:hanging="720"/>
      </w:pPr>
      <w:r>
        <w:rPr>
          <w:b/>
        </w:rPr>
        <w:t>(h)</w:t>
      </w:r>
      <w:r>
        <w:tab/>
        <w:t xml:space="preserve">disponibilizar ao Cliente todas as informações necessárias para demonstrar conformidade com as obrigações estabelecidas no Artigo 28 do GDPR e permitir e contribuir para auditorias, incluindo inspeções, conduzidas pelo Cliente e ou outro auditor autorizado pelo Cliente. </w:t>
      </w:r>
    </w:p>
    <w:p w14:paraId="2E135DAB" w14:textId="77777777" w:rsidR="00237427" w:rsidRPr="00FC77AC" w:rsidRDefault="00237427" w:rsidP="00237427">
      <w:pPr>
        <w:pStyle w:val="ProductList-Body"/>
        <w:spacing w:after="120"/>
        <w:ind w:left="158"/>
      </w:pPr>
      <w:r>
        <w:t>A Microsoft deverá informar o Cliente imediatamente se, em sua opinião, uma instrução infringir as cláusulas de proteção de dados do GDPR ou outras do Estado Membro ou da União. (Artigo 28(3))</w:t>
      </w:r>
    </w:p>
    <w:p w14:paraId="37FD23DE" w14:textId="050548BE" w:rsidR="00237427" w:rsidRPr="00FC77AC" w:rsidRDefault="00237427" w:rsidP="00237427">
      <w:pPr>
        <w:pStyle w:val="ProductList-Body"/>
        <w:spacing w:after="120"/>
        <w:ind w:left="158"/>
      </w:pPr>
      <w:r>
        <w:rPr>
          <w:b/>
        </w:rPr>
        <w:t>3.</w:t>
      </w:r>
      <w:r>
        <w:t xml:space="preserve"> Se a Microsoft se envolver em outro processo para executar atividades específicas de processamento em nome do Cliente, as mesmas obrigações de proteção de dados estabelecidas nestes Termos do GDPR deverão ser impostas ao outro processador em forma de um contrato ou outro ato legal segundo a lei do Estado Membro ou da União, fornecendo especialmente garantias suficientes para implementar medidas técnicas e organizacionais apropriadas de tal forma que o processamento cumpra as exigências do GDPR. Se o outro processador não cumprir suas obrigações de proteção de dados, a Microsoft permanecerá totalmente responsável perante o Cliente pelo desempenho das obrigações do outro processador. (Artigo 28(4))</w:t>
      </w:r>
    </w:p>
    <w:p w14:paraId="0555BEB7" w14:textId="078E38E7" w:rsidR="00237427" w:rsidRPr="00FC77AC" w:rsidRDefault="00237427" w:rsidP="00237427">
      <w:pPr>
        <w:pStyle w:val="ProductList-Body"/>
        <w:spacing w:after="120"/>
        <w:ind w:left="158"/>
      </w:pPr>
      <w:r>
        <w:rPr>
          <w:b/>
        </w:rPr>
        <w:t>4.</w:t>
      </w:r>
      <w:r>
        <w:t xml:space="preserve"> Levando em conta o estágio atual, os custos de implementação e a natureza, o escopo, o contexto e as finalidades de processamento, bem como o risco da variada probabilidade e gravidade dos direitos e da liberdade das pessoas físicas, o Cliente e a Microsoft deverão implementar medidas organizacionais e técnicas apropriadas para garantir um nível de segurança adequado ao risco, incluindo, entre outras coisas, conforme apropriado: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a criação de pseudônimos e criptografia de Dados Pessoais; </w:t>
      </w:r>
    </w:p>
    <w:p w14:paraId="2A7BB642" w14:textId="77777777" w:rsidR="00237427" w:rsidRPr="00FC77AC" w:rsidRDefault="00237427" w:rsidP="00BA4E58">
      <w:pPr>
        <w:pStyle w:val="ProductList-Body"/>
        <w:spacing w:after="120"/>
        <w:ind w:left="1440" w:hanging="720"/>
      </w:pPr>
      <w:r>
        <w:rPr>
          <w:rFonts w:cstheme="minorHAnsi"/>
          <w:b/>
          <w:szCs w:val="18"/>
        </w:rPr>
        <w:t>(b)</w:t>
      </w:r>
      <w:r>
        <w:rPr>
          <w:rFonts w:cstheme="minorHAnsi"/>
          <w:szCs w:val="18"/>
        </w:rPr>
        <w:tab/>
        <w:t xml:space="preserve">a capacidade de garantir a confidencialidade, integridade, disponibilidade e resiliência dos serviços e dos sistemas de processamento contínuos;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a capacidade de restaurar a disponibilidade e o acesso a Dados Pessoais de uma maneira oportuna no caso de um incidente físico ou técnico 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um processo para testar, estimar e avaliar regularmente a eficácia das medidas técnicas e organizacionais para garantir a segurança do processamento. (Artigo 32(1))</w:t>
      </w:r>
    </w:p>
    <w:p w14:paraId="3520F22C" w14:textId="2D7475B4" w:rsidR="00237427" w:rsidRPr="00FC77AC" w:rsidRDefault="00237427" w:rsidP="00237427">
      <w:pPr>
        <w:pStyle w:val="ProductList-Body"/>
        <w:spacing w:after="120"/>
        <w:ind w:left="158"/>
      </w:pPr>
      <w:r>
        <w:rPr>
          <w:b/>
        </w:rPr>
        <w:t>5.</w:t>
      </w:r>
      <w:r>
        <w:t xml:space="preserve"> Na avaliação do nível apropriado de segurança, deve-se levar em conta os riscos apresentados pelo processamento, principalmente aqueles decorrentes de destruição, perda, alteração, divulgação não autorizada ou acesso, de forma acidental ou ilícita, a Dados Pessoais transmitidos, armazenados ou de outra forma processados. (Artigo 32(2))</w:t>
      </w:r>
    </w:p>
    <w:p w14:paraId="4BF7427F" w14:textId="77777777" w:rsidR="00237427" w:rsidRPr="00FC77AC" w:rsidRDefault="00237427" w:rsidP="00237427">
      <w:pPr>
        <w:pStyle w:val="ProductList-Body"/>
        <w:spacing w:after="120"/>
        <w:ind w:left="158"/>
      </w:pPr>
      <w:r>
        <w:rPr>
          <w:b/>
        </w:rPr>
        <w:t>6.</w:t>
      </w:r>
      <w:r>
        <w:t xml:space="preserve"> O Cliente e a Microsoft deverão tomar medidas para garantir que qualquer pessoa física agindo sob a autoridade do Cliente ou da Microsoft que tenha acesso a Dados Pessoais não os processe, exceto segundo as instruções do Cliente, a menos que seja exigido que ele o faça de acordo com a lei do Estado Membro ou da União. (Artigo 32(4))</w:t>
      </w:r>
    </w:p>
    <w:p w14:paraId="67BEEB09" w14:textId="77777777" w:rsidR="00237427" w:rsidRPr="00FC77AC" w:rsidRDefault="00237427" w:rsidP="00237427">
      <w:pPr>
        <w:pStyle w:val="ProductList-Body"/>
        <w:spacing w:after="120"/>
        <w:ind w:left="158"/>
      </w:pPr>
      <w:r>
        <w:rPr>
          <w:b/>
          <w:bCs/>
        </w:rPr>
        <w:t>7.</w:t>
      </w:r>
      <w:r>
        <w:t xml:space="preserve"> A Microsoft deverá notificar o Cliente sem atraso indevido depois de tomar ciência de uma violação de Dados Pessoais. (Artigo 33(2)). Essa notificação incluirá as informações que um processador deve fornecer a um controlador nos termos do Artigo 33(3) na medida em que a referida informação seja razoavelmente disponibilizada à Microsoft.</w:t>
      </w:r>
    </w:p>
    <w:p w14:paraId="3B4FCA89" w14:textId="77777777" w:rsidR="0014507A" w:rsidRPr="00FC77AC" w:rsidRDefault="00AB741D" w:rsidP="0014507A">
      <w:pPr>
        <w:pStyle w:val="ProductList-Body"/>
        <w:shd w:val="clear" w:color="auto" w:fill="A6A6A6" w:themeFill="background1" w:themeFillShade="A6"/>
        <w:spacing w:after="120"/>
        <w:jc w:val="right"/>
      </w:pPr>
      <w:hyperlink w:anchor="TableofContents" w:tooltip="Sumário" w:history="1">
        <w:r w:rsidR="00FC72B7">
          <w:rPr>
            <w:rStyle w:val="Hyperlink"/>
            <w:sz w:val="16"/>
            <w:szCs w:val="16"/>
          </w:rPr>
          <w:t>Sumário</w:t>
        </w:r>
      </w:hyperlink>
      <w:r w:rsidR="00FC72B7">
        <w:rPr>
          <w:sz w:val="16"/>
          <w:szCs w:val="16"/>
        </w:rPr>
        <w:t xml:space="preserve"> / </w:t>
      </w:r>
      <w:hyperlink w:anchor="GeneralTerms" w:tooltip="Termos Gerais" w:history="1">
        <w:r w:rsidR="00FC72B7">
          <w:rPr>
            <w:rStyle w:val="Hyperlink"/>
            <w:sz w:val="16"/>
            <w:szCs w:val="16"/>
          </w:rPr>
          <w:t>Termos Gerais</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8513" w14:textId="77777777" w:rsidR="00BC74E2" w:rsidRDefault="00BC74E2" w:rsidP="009A573F">
      <w:pPr>
        <w:spacing w:after="0" w:line="240" w:lineRule="auto"/>
      </w:pPr>
      <w:r>
        <w:separator/>
      </w:r>
    </w:p>
    <w:p w14:paraId="7E6C1B7D" w14:textId="77777777" w:rsidR="00BC74E2" w:rsidRDefault="00BC74E2"/>
  </w:endnote>
  <w:endnote w:type="continuationSeparator" w:id="0">
    <w:p w14:paraId="6559E277" w14:textId="77777777" w:rsidR="00BC74E2" w:rsidRDefault="00BC74E2" w:rsidP="009A573F">
      <w:pPr>
        <w:spacing w:after="0" w:line="240" w:lineRule="auto"/>
      </w:pPr>
      <w:r>
        <w:continuationSeparator/>
      </w:r>
    </w:p>
    <w:p w14:paraId="4451EE75" w14:textId="77777777" w:rsidR="00BC74E2" w:rsidRDefault="00BC74E2"/>
  </w:endnote>
  <w:endnote w:type="continuationNotice" w:id="1">
    <w:p w14:paraId="2D2C1D73" w14:textId="77777777" w:rsidR="00BC74E2" w:rsidRDefault="00BC74E2">
      <w:pPr>
        <w:spacing w:after="0" w:line="240" w:lineRule="auto"/>
      </w:pPr>
    </w:p>
    <w:p w14:paraId="10728E23" w14:textId="77777777" w:rsidR="00BC74E2" w:rsidRDefault="00BC7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A6210" w:rsidRPr="00C76DF3" w14:paraId="0484FA42"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FFCEAB" w14:textId="77777777" w:rsidR="000A6210" w:rsidRPr="00C76DF3" w:rsidRDefault="00AB741D" w:rsidP="000A6210">
          <w:pPr>
            <w:pStyle w:val="ProductList-OfferingBody"/>
            <w:ind w:left="-77" w:right="-73"/>
            <w:jc w:val="center"/>
            <w:rPr>
              <w:color w:val="808080" w:themeColor="background1" w:themeShade="80"/>
              <w:sz w:val="14"/>
              <w:szCs w:val="14"/>
            </w:rPr>
          </w:pPr>
          <w:hyperlink w:anchor="TableofContents" w:history="1">
            <w:r w:rsidR="000A6210">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9A83E21" w14:textId="77777777" w:rsidR="000A6210" w:rsidRPr="00C76DF3" w:rsidRDefault="000A6210" w:rsidP="000A621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440D1" w14:textId="77777777" w:rsidR="000A6210" w:rsidRPr="00C76DF3" w:rsidRDefault="00AB741D" w:rsidP="000A6210">
          <w:pPr>
            <w:pStyle w:val="ProductList-OfferingBody"/>
            <w:ind w:left="-72" w:right="-74"/>
            <w:jc w:val="center"/>
            <w:rPr>
              <w:color w:val="808080" w:themeColor="background1" w:themeShade="80"/>
              <w:sz w:val="14"/>
              <w:szCs w:val="14"/>
            </w:rPr>
          </w:pPr>
          <w:hyperlink w:anchor="Introduction" w:history="1">
            <w:r w:rsidR="000A6210">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F17810C" w14:textId="77777777" w:rsidR="000A6210" w:rsidRPr="00C76DF3" w:rsidRDefault="000A6210" w:rsidP="000A621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E6B26" w14:textId="77777777" w:rsidR="000A6210" w:rsidRPr="00C76DF3" w:rsidRDefault="00AB741D" w:rsidP="000A6210">
          <w:pPr>
            <w:pStyle w:val="ProductList-OfferingBody"/>
            <w:ind w:left="-72" w:right="-75"/>
            <w:jc w:val="center"/>
            <w:rPr>
              <w:color w:val="808080" w:themeColor="background1" w:themeShade="80"/>
              <w:sz w:val="14"/>
              <w:szCs w:val="14"/>
            </w:rPr>
          </w:pPr>
          <w:hyperlink w:anchor="GeneralTerms" w:history="1">
            <w:r w:rsidR="000A6210">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2156B7" w14:textId="77777777" w:rsidR="000A6210" w:rsidRPr="00C76DF3" w:rsidRDefault="000A6210" w:rsidP="000A621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087004" w14:textId="77777777" w:rsidR="000A6210" w:rsidRPr="00C76DF3" w:rsidRDefault="00AB741D" w:rsidP="000A6210">
          <w:pPr>
            <w:pStyle w:val="ProductList-OfferingBody"/>
            <w:ind w:left="-72" w:right="-77"/>
            <w:jc w:val="center"/>
            <w:rPr>
              <w:color w:val="808080" w:themeColor="background1" w:themeShade="80"/>
              <w:sz w:val="14"/>
              <w:szCs w:val="14"/>
            </w:rPr>
          </w:pPr>
          <w:hyperlink w:anchor="DatProtectionTerms" w:history="1">
            <w:r w:rsidR="000A6210">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BE1283" w14:textId="77777777" w:rsidR="000A6210" w:rsidRPr="00C76DF3" w:rsidRDefault="000A6210" w:rsidP="000A621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8E2E2" w14:textId="77777777" w:rsidR="000A6210" w:rsidRPr="00C76DF3" w:rsidRDefault="00AB741D" w:rsidP="000A6210">
          <w:pPr>
            <w:pStyle w:val="ProductList-OfferingBody"/>
            <w:ind w:left="-72" w:right="-76"/>
            <w:jc w:val="center"/>
            <w:rPr>
              <w:color w:val="808080" w:themeColor="background1" w:themeShade="80"/>
              <w:sz w:val="14"/>
              <w:szCs w:val="14"/>
            </w:rPr>
          </w:pPr>
          <w:hyperlink w:anchor="Attachment1" w:history="1">
            <w:r w:rsidR="000A6210">
              <w:rPr>
                <w:rStyle w:val="Hyperlink"/>
                <w:sz w:val="14"/>
                <w:szCs w:val="14"/>
              </w:rPr>
              <w:t>Anexos</w:t>
            </w:r>
          </w:hyperlink>
        </w:p>
      </w:tc>
    </w:tr>
  </w:tbl>
  <w:p w14:paraId="42CBE414" w14:textId="3663700B" w:rsidR="006C78B3" w:rsidRPr="000A6210" w:rsidRDefault="006C78B3" w:rsidP="000A621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AB741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AB741D"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AB741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AB741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AB741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AB741D"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AB741D"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AB741D" w:rsidP="00B07097">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AB741D"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AB741D"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AB741D"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AB741D"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C7009" w:rsidRPr="00C76DF3" w14:paraId="39C54080"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24EA68" w14:textId="77777777" w:rsidR="003C7009" w:rsidRPr="00C76DF3" w:rsidRDefault="00AB741D" w:rsidP="003C7009">
          <w:pPr>
            <w:pStyle w:val="ProductList-OfferingBody"/>
            <w:ind w:left="-77" w:right="-73"/>
            <w:jc w:val="center"/>
            <w:rPr>
              <w:color w:val="808080" w:themeColor="background1" w:themeShade="80"/>
              <w:sz w:val="14"/>
              <w:szCs w:val="14"/>
            </w:rPr>
          </w:pPr>
          <w:hyperlink w:anchor="TableofContents" w:history="1">
            <w:r w:rsidR="003C7009">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2417CDD" w14:textId="77777777" w:rsidR="003C7009" w:rsidRPr="00C76DF3" w:rsidRDefault="003C7009" w:rsidP="003C700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FDF1D" w14:textId="77777777" w:rsidR="003C7009" w:rsidRPr="00C76DF3" w:rsidRDefault="00AB741D" w:rsidP="003C7009">
          <w:pPr>
            <w:pStyle w:val="ProductList-OfferingBody"/>
            <w:ind w:left="-72" w:right="-74"/>
            <w:jc w:val="center"/>
            <w:rPr>
              <w:color w:val="808080" w:themeColor="background1" w:themeShade="80"/>
              <w:sz w:val="14"/>
              <w:szCs w:val="14"/>
            </w:rPr>
          </w:pPr>
          <w:hyperlink w:anchor="Introduction" w:history="1">
            <w:r w:rsidR="003C7009">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9FF112F" w14:textId="77777777" w:rsidR="003C7009" w:rsidRPr="00C76DF3" w:rsidRDefault="003C7009" w:rsidP="003C700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432B03" w14:textId="77777777" w:rsidR="003C7009" w:rsidRPr="00C76DF3" w:rsidRDefault="00AB741D" w:rsidP="003C7009">
          <w:pPr>
            <w:pStyle w:val="ProductList-OfferingBody"/>
            <w:ind w:left="-72" w:right="-75"/>
            <w:jc w:val="center"/>
            <w:rPr>
              <w:color w:val="808080" w:themeColor="background1" w:themeShade="80"/>
              <w:sz w:val="14"/>
              <w:szCs w:val="14"/>
            </w:rPr>
          </w:pPr>
          <w:hyperlink w:anchor="GeneralTerms" w:history="1">
            <w:r w:rsidR="003C7009">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D6045C" w14:textId="77777777" w:rsidR="003C7009" w:rsidRPr="00C76DF3" w:rsidRDefault="003C7009" w:rsidP="003C700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71F10C" w14:textId="77777777" w:rsidR="003C7009" w:rsidRPr="00C76DF3" w:rsidRDefault="00AB741D" w:rsidP="003C7009">
          <w:pPr>
            <w:pStyle w:val="ProductList-OfferingBody"/>
            <w:ind w:left="-72" w:right="-77"/>
            <w:jc w:val="center"/>
            <w:rPr>
              <w:color w:val="808080" w:themeColor="background1" w:themeShade="80"/>
              <w:sz w:val="14"/>
              <w:szCs w:val="14"/>
            </w:rPr>
          </w:pPr>
          <w:hyperlink w:anchor="DatProtectionTerms" w:history="1">
            <w:r w:rsidR="003C7009">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3938F8" w14:textId="77777777" w:rsidR="003C7009" w:rsidRPr="00C76DF3" w:rsidRDefault="003C7009" w:rsidP="003C700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4B533D" w14:textId="77777777" w:rsidR="003C7009" w:rsidRPr="00C76DF3" w:rsidRDefault="00AB741D" w:rsidP="003C7009">
          <w:pPr>
            <w:pStyle w:val="ProductList-OfferingBody"/>
            <w:ind w:left="-72" w:right="-76"/>
            <w:jc w:val="center"/>
            <w:rPr>
              <w:color w:val="808080" w:themeColor="background1" w:themeShade="80"/>
              <w:sz w:val="14"/>
              <w:szCs w:val="14"/>
            </w:rPr>
          </w:pPr>
          <w:hyperlink w:anchor="Attachment1" w:history="1">
            <w:r w:rsidR="003C7009">
              <w:rPr>
                <w:rStyle w:val="Hyperlink"/>
                <w:sz w:val="14"/>
                <w:szCs w:val="14"/>
              </w:rPr>
              <w:t>Anexos</w:t>
            </w:r>
          </w:hyperlink>
        </w:p>
      </w:tc>
    </w:tr>
  </w:tbl>
  <w:p w14:paraId="29AB4D16" w14:textId="77777777" w:rsidR="006C78B3" w:rsidRPr="003C7009" w:rsidRDefault="006C78B3" w:rsidP="003C700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03615" w:rsidRPr="00C76DF3" w14:paraId="4046804E"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E380F0" w14:textId="77777777" w:rsidR="00B03615" w:rsidRPr="00C76DF3" w:rsidRDefault="00AB741D" w:rsidP="00B03615">
          <w:pPr>
            <w:pStyle w:val="ProductList-OfferingBody"/>
            <w:ind w:left="-77" w:right="-73"/>
            <w:jc w:val="center"/>
            <w:rPr>
              <w:color w:val="808080" w:themeColor="background1" w:themeShade="80"/>
              <w:sz w:val="14"/>
              <w:szCs w:val="14"/>
            </w:rPr>
          </w:pPr>
          <w:hyperlink w:anchor="TableofContents" w:history="1">
            <w:r w:rsidR="00B03615">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D62BC9" w14:textId="77777777" w:rsidR="00B03615" w:rsidRPr="00C76DF3" w:rsidRDefault="00B03615" w:rsidP="00B0361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AAB7E" w14:textId="77777777" w:rsidR="00B03615" w:rsidRPr="00C76DF3" w:rsidRDefault="00AB741D" w:rsidP="00B03615">
          <w:pPr>
            <w:pStyle w:val="ProductList-OfferingBody"/>
            <w:ind w:left="-72" w:right="-74"/>
            <w:jc w:val="center"/>
            <w:rPr>
              <w:color w:val="808080" w:themeColor="background1" w:themeShade="80"/>
              <w:sz w:val="14"/>
              <w:szCs w:val="14"/>
            </w:rPr>
          </w:pPr>
          <w:hyperlink w:anchor="Introduction" w:history="1">
            <w:r w:rsidR="00B03615">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71C2B6" w14:textId="77777777" w:rsidR="00B03615" w:rsidRPr="00C76DF3" w:rsidRDefault="00B03615" w:rsidP="00B0361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4793F6" w14:textId="77777777" w:rsidR="00B03615" w:rsidRPr="00C76DF3" w:rsidRDefault="00AB741D" w:rsidP="00B03615">
          <w:pPr>
            <w:pStyle w:val="ProductList-OfferingBody"/>
            <w:ind w:left="-72" w:right="-75"/>
            <w:jc w:val="center"/>
            <w:rPr>
              <w:color w:val="808080" w:themeColor="background1" w:themeShade="80"/>
              <w:sz w:val="14"/>
              <w:szCs w:val="14"/>
            </w:rPr>
          </w:pPr>
          <w:hyperlink w:anchor="GeneralTerms" w:history="1">
            <w:r w:rsidR="00B03615">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7042807" w14:textId="77777777" w:rsidR="00B03615" w:rsidRPr="00C76DF3" w:rsidRDefault="00B03615" w:rsidP="00B0361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37FC" w14:textId="77777777" w:rsidR="00B03615" w:rsidRPr="00C76DF3" w:rsidRDefault="00AB741D" w:rsidP="00B03615">
          <w:pPr>
            <w:pStyle w:val="ProductList-OfferingBody"/>
            <w:ind w:left="-72" w:right="-77"/>
            <w:jc w:val="center"/>
            <w:rPr>
              <w:color w:val="808080" w:themeColor="background1" w:themeShade="80"/>
              <w:sz w:val="14"/>
              <w:szCs w:val="14"/>
            </w:rPr>
          </w:pPr>
          <w:hyperlink w:anchor="DatProtectionTerms" w:history="1">
            <w:r w:rsidR="00B03615">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F0952A" w14:textId="77777777" w:rsidR="00B03615" w:rsidRPr="00C76DF3" w:rsidRDefault="00B03615" w:rsidP="00B0361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2974533" w14:textId="77777777" w:rsidR="00B03615" w:rsidRPr="00C76DF3" w:rsidRDefault="00AB741D" w:rsidP="00B03615">
          <w:pPr>
            <w:pStyle w:val="ProductList-OfferingBody"/>
            <w:ind w:left="-72" w:right="-76"/>
            <w:jc w:val="center"/>
            <w:rPr>
              <w:color w:val="808080" w:themeColor="background1" w:themeShade="80"/>
              <w:sz w:val="14"/>
              <w:szCs w:val="14"/>
            </w:rPr>
          </w:pPr>
          <w:hyperlink w:anchor="Attachment1" w:history="1">
            <w:r w:rsidR="00B03615">
              <w:rPr>
                <w:rStyle w:val="Hyperlink"/>
                <w:sz w:val="14"/>
                <w:szCs w:val="14"/>
              </w:rPr>
              <w:t>Anexos</w:t>
            </w:r>
          </w:hyperlink>
        </w:p>
      </w:tc>
    </w:tr>
  </w:tbl>
  <w:p w14:paraId="6E2D8BE2" w14:textId="77777777" w:rsidR="006C78B3" w:rsidRPr="00B03615" w:rsidRDefault="006C78B3" w:rsidP="00B0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46A5305" w:rsidR="006C78B3" w:rsidRPr="00C76DF3" w:rsidRDefault="00AB741D"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07D3BF4" w:rsidR="006C78B3" w:rsidRPr="00C76DF3" w:rsidRDefault="00AB741D"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12F43478" w:rsidR="006C78B3" w:rsidRPr="00C76DF3" w:rsidRDefault="00AB741D"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536A5B1" w:rsidR="006C78B3" w:rsidRPr="00C76DF3" w:rsidRDefault="00AB741D"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4A744C1" w:rsidR="006C78B3" w:rsidRPr="00C76DF3" w:rsidRDefault="00AB741D"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AB741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AB741D" w:rsidP="00591643">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AB741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AB741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Termos de Privacidade e Segurança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AB741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Serviço Online – Termos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AB741D"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AB741D"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AB741D" w:rsidP="00B43A5F">
          <w:pPr>
            <w:pStyle w:val="ProductList-OfferingBody"/>
            <w:ind w:left="-72" w:right="-74"/>
            <w:jc w:val="center"/>
            <w:rPr>
              <w:color w:val="808080" w:themeColor="background1" w:themeShade="80"/>
              <w:sz w:val="14"/>
              <w:szCs w:val="14"/>
            </w:rPr>
          </w:pPr>
          <w:hyperlink w:anchor="Introdução" w:history="1">
            <w:r w:rsidR="00FC72B7">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AB741D"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AB741D"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AB741D"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Anexos</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864D6" w:rsidRPr="00C76DF3" w14:paraId="5A3BCA39" w14:textId="77777777" w:rsidTr="00D864D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FC9A5E" w14:textId="77777777" w:rsidR="00D864D6" w:rsidRPr="00C76DF3" w:rsidRDefault="00AB741D" w:rsidP="00D864D6">
          <w:pPr>
            <w:pStyle w:val="ProductList-OfferingBody"/>
            <w:ind w:left="-77" w:right="-73"/>
            <w:jc w:val="center"/>
            <w:rPr>
              <w:color w:val="808080" w:themeColor="background1" w:themeShade="80"/>
              <w:sz w:val="14"/>
              <w:szCs w:val="14"/>
            </w:rPr>
          </w:pPr>
          <w:hyperlink w:anchor="TableofContents" w:history="1">
            <w:r w:rsidR="00D864D6">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BAFA90" w14:textId="77777777" w:rsidR="00D864D6" w:rsidRPr="00C76DF3" w:rsidRDefault="00D864D6" w:rsidP="00D864D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2B4E2A" w14:textId="77777777" w:rsidR="00D864D6" w:rsidRPr="00C76DF3" w:rsidRDefault="00AB741D" w:rsidP="00D864D6">
          <w:pPr>
            <w:pStyle w:val="ProductList-OfferingBody"/>
            <w:ind w:left="-72" w:right="-74"/>
            <w:jc w:val="center"/>
            <w:rPr>
              <w:color w:val="808080" w:themeColor="background1" w:themeShade="80"/>
              <w:sz w:val="14"/>
              <w:szCs w:val="14"/>
            </w:rPr>
          </w:pPr>
          <w:hyperlink w:anchor="Introduction" w:history="1">
            <w:r w:rsidR="00D864D6">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D6271A9" w14:textId="77777777" w:rsidR="00D864D6" w:rsidRPr="00C76DF3" w:rsidRDefault="00D864D6" w:rsidP="00D864D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AF100C" w14:textId="77777777" w:rsidR="00D864D6" w:rsidRPr="00C76DF3" w:rsidRDefault="00AB741D" w:rsidP="00D864D6">
          <w:pPr>
            <w:pStyle w:val="ProductList-OfferingBody"/>
            <w:ind w:left="-72" w:right="-75"/>
            <w:jc w:val="center"/>
            <w:rPr>
              <w:color w:val="808080" w:themeColor="background1" w:themeShade="80"/>
              <w:sz w:val="14"/>
              <w:szCs w:val="14"/>
            </w:rPr>
          </w:pPr>
          <w:hyperlink w:anchor="GeneralTerms" w:history="1">
            <w:r w:rsidR="00D864D6">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078A48" w14:textId="77777777" w:rsidR="00D864D6" w:rsidRPr="00C76DF3" w:rsidRDefault="00D864D6" w:rsidP="00D864D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0B18A" w14:textId="77777777" w:rsidR="00D864D6" w:rsidRPr="00C76DF3" w:rsidRDefault="00AB741D" w:rsidP="00D864D6">
          <w:pPr>
            <w:pStyle w:val="ProductList-OfferingBody"/>
            <w:ind w:left="-72" w:right="-77"/>
            <w:jc w:val="center"/>
            <w:rPr>
              <w:color w:val="808080" w:themeColor="background1" w:themeShade="80"/>
              <w:sz w:val="14"/>
              <w:szCs w:val="14"/>
            </w:rPr>
          </w:pPr>
          <w:hyperlink w:anchor="DatProtectionTerms" w:history="1">
            <w:r w:rsidR="00D864D6">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B7DC9D" w14:textId="77777777" w:rsidR="00D864D6" w:rsidRPr="00C76DF3" w:rsidRDefault="00D864D6" w:rsidP="00D864D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758F0" w14:textId="77777777" w:rsidR="00D864D6" w:rsidRPr="00C76DF3" w:rsidRDefault="00AB741D" w:rsidP="00D864D6">
          <w:pPr>
            <w:pStyle w:val="ProductList-OfferingBody"/>
            <w:ind w:left="-72" w:right="-76"/>
            <w:jc w:val="center"/>
            <w:rPr>
              <w:color w:val="808080" w:themeColor="background1" w:themeShade="80"/>
              <w:sz w:val="14"/>
              <w:szCs w:val="14"/>
            </w:rPr>
          </w:pPr>
          <w:hyperlink w:anchor="Attachment1" w:history="1">
            <w:r w:rsidR="00D864D6">
              <w:rPr>
                <w:rStyle w:val="Hyperlink"/>
                <w:sz w:val="14"/>
                <w:szCs w:val="14"/>
              </w:rPr>
              <w:t>Anexos</w:t>
            </w:r>
          </w:hyperlink>
        </w:p>
      </w:tc>
    </w:tr>
  </w:tbl>
  <w:p w14:paraId="70E1610E" w14:textId="77777777" w:rsidR="006C78B3" w:rsidRPr="00D864D6" w:rsidRDefault="006C78B3" w:rsidP="00D864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20946" w:rsidRPr="00C76DF3" w14:paraId="0D8557C4"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9AFD7" w14:textId="77777777" w:rsidR="00C20946" w:rsidRPr="00C76DF3" w:rsidRDefault="00AB741D" w:rsidP="00C20946">
          <w:pPr>
            <w:pStyle w:val="ProductList-OfferingBody"/>
            <w:ind w:left="-77" w:right="-73"/>
            <w:jc w:val="center"/>
            <w:rPr>
              <w:color w:val="808080" w:themeColor="background1" w:themeShade="80"/>
              <w:sz w:val="14"/>
              <w:szCs w:val="14"/>
            </w:rPr>
          </w:pPr>
          <w:hyperlink w:anchor="TableofContents" w:history="1">
            <w:r w:rsidR="00C20946">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87BA014" w14:textId="77777777" w:rsidR="00C20946" w:rsidRPr="00C76DF3" w:rsidRDefault="00C20946" w:rsidP="00C2094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B8D1FF" w14:textId="77777777" w:rsidR="00C20946" w:rsidRPr="00C76DF3" w:rsidRDefault="00AB741D" w:rsidP="00C20946">
          <w:pPr>
            <w:pStyle w:val="ProductList-OfferingBody"/>
            <w:ind w:left="-72" w:right="-74"/>
            <w:jc w:val="center"/>
            <w:rPr>
              <w:color w:val="808080" w:themeColor="background1" w:themeShade="80"/>
              <w:sz w:val="14"/>
              <w:szCs w:val="14"/>
            </w:rPr>
          </w:pPr>
          <w:hyperlink w:anchor="Introduction" w:history="1">
            <w:r w:rsidR="00C20946">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5CD5FE" w14:textId="77777777" w:rsidR="00C20946" w:rsidRPr="00C76DF3" w:rsidRDefault="00C20946" w:rsidP="00C2094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8A2726" w14:textId="77777777" w:rsidR="00C20946" w:rsidRPr="00C76DF3" w:rsidRDefault="00AB741D" w:rsidP="00C20946">
          <w:pPr>
            <w:pStyle w:val="ProductList-OfferingBody"/>
            <w:ind w:left="-72" w:right="-75"/>
            <w:jc w:val="center"/>
            <w:rPr>
              <w:color w:val="808080" w:themeColor="background1" w:themeShade="80"/>
              <w:sz w:val="14"/>
              <w:szCs w:val="14"/>
            </w:rPr>
          </w:pPr>
          <w:hyperlink w:anchor="GeneralTerms" w:history="1">
            <w:r w:rsidR="00C20946">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50CA748" w14:textId="77777777" w:rsidR="00C20946" w:rsidRPr="00C76DF3" w:rsidRDefault="00C20946" w:rsidP="00C2094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7A6420" w14:textId="77777777" w:rsidR="00C20946" w:rsidRPr="00C76DF3" w:rsidRDefault="00AB741D" w:rsidP="00C20946">
          <w:pPr>
            <w:pStyle w:val="ProductList-OfferingBody"/>
            <w:ind w:left="-72" w:right="-77"/>
            <w:jc w:val="center"/>
            <w:rPr>
              <w:color w:val="808080" w:themeColor="background1" w:themeShade="80"/>
              <w:sz w:val="14"/>
              <w:szCs w:val="14"/>
            </w:rPr>
          </w:pPr>
          <w:hyperlink w:anchor="DatProtectionTerms" w:history="1">
            <w:r w:rsidR="00C20946">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F5FF9D7" w14:textId="77777777" w:rsidR="00C20946" w:rsidRPr="00C76DF3" w:rsidRDefault="00C20946" w:rsidP="00C2094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07B41" w14:textId="77777777" w:rsidR="00C20946" w:rsidRPr="00C76DF3" w:rsidRDefault="00AB741D" w:rsidP="00C20946">
          <w:pPr>
            <w:pStyle w:val="ProductList-OfferingBody"/>
            <w:ind w:left="-72" w:right="-76"/>
            <w:jc w:val="center"/>
            <w:rPr>
              <w:color w:val="808080" w:themeColor="background1" w:themeShade="80"/>
              <w:sz w:val="14"/>
              <w:szCs w:val="14"/>
            </w:rPr>
          </w:pPr>
          <w:hyperlink w:anchor="Attachment1" w:history="1">
            <w:r w:rsidR="00C20946">
              <w:rPr>
                <w:rStyle w:val="Hyperlink"/>
                <w:sz w:val="14"/>
                <w:szCs w:val="14"/>
              </w:rPr>
              <w:t>Anexos</w:t>
            </w:r>
          </w:hyperlink>
        </w:p>
      </w:tc>
    </w:tr>
  </w:tbl>
  <w:p w14:paraId="3C88A002" w14:textId="77777777" w:rsidR="006C78B3" w:rsidRPr="00C20946" w:rsidRDefault="006C78B3" w:rsidP="00C2094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1122" w:rsidRPr="00C76DF3" w14:paraId="5B8DCA72" w14:textId="77777777" w:rsidTr="0092112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946330" w14:textId="77777777" w:rsidR="00921122" w:rsidRPr="00C76DF3" w:rsidRDefault="00AB741D" w:rsidP="00921122">
          <w:pPr>
            <w:pStyle w:val="ProductList-OfferingBody"/>
            <w:ind w:left="-77" w:right="-73"/>
            <w:jc w:val="center"/>
            <w:rPr>
              <w:color w:val="808080" w:themeColor="background1" w:themeShade="80"/>
              <w:sz w:val="14"/>
              <w:szCs w:val="14"/>
            </w:rPr>
          </w:pPr>
          <w:hyperlink w:anchor="TableofContents" w:history="1">
            <w:r w:rsidR="00921122">
              <w:rPr>
                <w:rStyle w:val="Hyperlink"/>
                <w:sz w:val="14"/>
                <w:szCs w:val="14"/>
              </w:rPr>
              <w:t>Sumário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ADF4DD" w14:textId="77777777" w:rsidR="00921122" w:rsidRPr="00C76DF3" w:rsidRDefault="00921122" w:rsidP="0092112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97A69C" w14:textId="77777777" w:rsidR="00921122" w:rsidRPr="00C76DF3" w:rsidRDefault="00AB741D" w:rsidP="00921122">
          <w:pPr>
            <w:pStyle w:val="ProductList-OfferingBody"/>
            <w:ind w:left="-72" w:right="-74"/>
            <w:jc w:val="center"/>
            <w:rPr>
              <w:color w:val="808080" w:themeColor="background1" w:themeShade="80"/>
              <w:sz w:val="14"/>
              <w:szCs w:val="14"/>
            </w:rPr>
          </w:pPr>
          <w:hyperlink w:anchor="Introduction" w:history="1">
            <w:r w:rsidR="00921122">
              <w:rPr>
                <w:rStyle w:val="Hyperlink"/>
                <w:sz w:val="14"/>
                <w:szCs w:val="14"/>
              </w:rPr>
              <w:t>Introdução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DFB730" w14:textId="77777777" w:rsidR="00921122" w:rsidRPr="00C76DF3" w:rsidRDefault="00921122" w:rsidP="0092112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83AAD7" w14:textId="77777777" w:rsidR="00921122" w:rsidRPr="00C76DF3" w:rsidRDefault="00AB741D" w:rsidP="00921122">
          <w:pPr>
            <w:pStyle w:val="ProductList-OfferingBody"/>
            <w:ind w:left="-72" w:right="-75"/>
            <w:jc w:val="center"/>
            <w:rPr>
              <w:color w:val="808080" w:themeColor="background1" w:themeShade="80"/>
              <w:sz w:val="14"/>
              <w:szCs w:val="14"/>
            </w:rPr>
          </w:pPr>
          <w:hyperlink w:anchor="GeneralTerms" w:history="1">
            <w:r w:rsidR="00921122">
              <w:rPr>
                <w:rStyle w:val="Hyperlink"/>
                <w:sz w:val="14"/>
                <w:szCs w:val="14"/>
              </w:rPr>
              <w:t>Termos Gerais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3DE46E" w14:textId="77777777" w:rsidR="00921122" w:rsidRPr="00C76DF3" w:rsidRDefault="00921122" w:rsidP="0092112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712023" w14:textId="77777777" w:rsidR="00921122" w:rsidRPr="00C76DF3" w:rsidRDefault="00AB741D" w:rsidP="00921122">
          <w:pPr>
            <w:pStyle w:val="ProductList-OfferingBody"/>
            <w:ind w:left="-72" w:right="-77"/>
            <w:jc w:val="center"/>
            <w:rPr>
              <w:color w:val="808080" w:themeColor="background1" w:themeShade="80"/>
              <w:sz w:val="14"/>
              <w:szCs w:val="14"/>
            </w:rPr>
          </w:pPr>
          <w:hyperlink w:anchor="DatProtectionTerms" w:history="1">
            <w:r w:rsidR="00921122">
              <w:rPr>
                <w:rStyle w:val="Hyperlink"/>
                <w:sz w:val="14"/>
                <w:szCs w:val="14"/>
              </w:rPr>
              <w:t>Termos de Proteção de Dados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EA9FD4" w14:textId="77777777" w:rsidR="00921122" w:rsidRPr="00C76DF3" w:rsidRDefault="00921122" w:rsidP="0092112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025BF0" w14:textId="77777777" w:rsidR="00921122" w:rsidRPr="00C76DF3" w:rsidRDefault="00AB741D" w:rsidP="00921122">
          <w:pPr>
            <w:pStyle w:val="ProductList-OfferingBody"/>
            <w:ind w:left="-72" w:right="-76"/>
            <w:jc w:val="center"/>
            <w:rPr>
              <w:color w:val="808080" w:themeColor="background1" w:themeShade="80"/>
              <w:sz w:val="14"/>
              <w:szCs w:val="14"/>
            </w:rPr>
          </w:pPr>
          <w:hyperlink w:anchor="Attachment1" w:history="1">
            <w:r w:rsidR="00921122">
              <w:rPr>
                <w:rStyle w:val="Hyperlink"/>
                <w:sz w:val="14"/>
                <w:szCs w:val="14"/>
              </w:rPr>
              <w:t>Anexos</w:t>
            </w:r>
          </w:hyperlink>
        </w:p>
      </w:tc>
    </w:tr>
  </w:tbl>
  <w:p w14:paraId="1E2E4D5A" w14:textId="77777777" w:rsidR="006C78B3" w:rsidRPr="00921122" w:rsidRDefault="006C78B3" w:rsidP="0092112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4FEA8" w14:textId="77777777" w:rsidR="00BC74E2" w:rsidRDefault="00BC74E2" w:rsidP="009A573F">
      <w:pPr>
        <w:spacing w:after="0" w:line="240" w:lineRule="auto"/>
      </w:pPr>
      <w:r>
        <w:separator/>
      </w:r>
    </w:p>
    <w:p w14:paraId="466A5A5B" w14:textId="77777777" w:rsidR="00BC74E2" w:rsidRDefault="00BC74E2"/>
  </w:footnote>
  <w:footnote w:type="continuationSeparator" w:id="0">
    <w:p w14:paraId="58EEFF48" w14:textId="77777777" w:rsidR="00BC74E2" w:rsidRDefault="00BC74E2" w:rsidP="009A573F">
      <w:pPr>
        <w:spacing w:after="0" w:line="240" w:lineRule="auto"/>
      </w:pPr>
      <w:r>
        <w:continuationSeparator/>
      </w:r>
    </w:p>
    <w:p w14:paraId="63C45887" w14:textId="77777777" w:rsidR="00BC74E2" w:rsidRDefault="00BC74E2"/>
  </w:footnote>
  <w:footnote w:type="continuationNotice" w:id="1">
    <w:p w14:paraId="52F85881" w14:textId="77777777" w:rsidR="00BC74E2" w:rsidRDefault="00BC74E2">
      <w:pPr>
        <w:spacing w:after="0" w:line="240" w:lineRule="auto"/>
      </w:pPr>
    </w:p>
    <w:p w14:paraId="1C68261B" w14:textId="77777777" w:rsidR="00BC74E2" w:rsidRDefault="00BC7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Adendo de Proteção de Dados dos Produtos e Serviços da Microsoft (Português do Brasil, 15 de setembro de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Adendo de Proteção de Dados dos Produtos e Serviços da Microsoft (Português do Brasil, 15 de setembro de 2022)</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118620C"/>
    <w:lvl w:ilvl="0" w:tplc="F642EA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85077513">
    <w:abstractNumId w:val="3"/>
  </w:num>
  <w:num w:numId="2" w16cid:durableId="1346251179">
    <w:abstractNumId w:val="6"/>
  </w:num>
  <w:num w:numId="3" w16cid:durableId="323246222">
    <w:abstractNumId w:val="12"/>
  </w:num>
  <w:num w:numId="4" w16cid:durableId="595603077">
    <w:abstractNumId w:val="14"/>
  </w:num>
  <w:num w:numId="5" w16cid:durableId="1440758409">
    <w:abstractNumId w:val="1"/>
  </w:num>
  <w:num w:numId="6" w16cid:durableId="389109965">
    <w:abstractNumId w:val="17"/>
  </w:num>
  <w:num w:numId="7" w16cid:durableId="1974797210">
    <w:abstractNumId w:val="11"/>
  </w:num>
  <w:num w:numId="8" w16cid:durableId="315494233">
    <w:abstractNumId w:val="4"/>
  </w:num>
  <w:num w:numId="9" w16cid:durableId="481165383">
    <w:abstractNumId w:val="15"/>
  </w:num>
  <w:num w:numId="10" w16cid:durableId="1467746929">
    <w:abstractNumId w:val="7"/>
  </w:num>
  <w:num w:numId="11" w16cid:durableId="212278343">
    <w:abstractNumId w:val="13"/>
  </w:num>
  <w:num w:numId="12" w16cid:durableId="445736187">
    <w:abstractNumId w:val="2"/>
  </w:num>
  <w:num w:numId="13" w16cid:durableId="680818321">
    <w:abstractNumId w:val="5"/>
  </w:num>
  <w:num w:numId="14" w16cid:durableId="1051148410">
    <w:abstractNumId w:val="8"/>
  </w:num>
  <w:num w:numId="15" w16cid:durableId="587812145">
    <w:abstractNumId w:val="16"/>
  </w:num>
  <w:num w:numId="16" w16cid:durableId="2069911377">
    <w:abstractNumId w:val="10"/>
  </w:num>
  <w:num w:numId="17" w16cid:durableId="4865890">
    <w:abstractNumId w:val="0"/>
  </w:num>
  <w:num w:numId="18" w16cid:durableId="93751984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RaMXtQYcuxtRZTZzFtJcb2G0Ot8d0kYgIqXy/l8SB86SWYfv9X4IFxis4jskYFuzmjUdvhKRP61PlizCEGMgZg==" w:salt="lkPXm966TrQsiVFNUw/DP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7B4"/>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0EA"/>
    <w:rsid w:val="00054264"/>
    <w:rsid w:val="000543DF"/>
    <w:rsid w:val="00054F92"/>
    <w:rsid w:val="000552CB"/>
    <w:rsid w:val="00055772"/>
    <w:rsid w:val="00055AF1"/>
    <w:rsid w:val="00055D55"/>
    <w:rsid w:val="00056138"/>
    <w:rsid w:val="00056486"/>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320"/>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5FB"/>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10"/>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1F"/>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4DF1"/>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AEF"/>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A67"/>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015"/>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00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AED"/>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0E6B"/>
    <w:rsid w:val="00561361"/>
    <w:rsid w:val="005616CC"/>
    <w:rsid w:val="00561759"/>
    <w:rsid w:val="00561C87"/>
    <w:rsid w:val="005622EA"/>
    <w:rsid w:val="00562A9C"/>
    <w:rsid w:val="0056303B"/>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87D33"/>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AB5"/>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944"/>
    <w:rsid w:val="005E5A7A"/>
    <w:rsid w:val="005E64EE"/>
    <w:rsid w:val="005E69C9"/>
    <w:rsid w:val="005E6A59"/>
    <w:rsid w:val="005E7036"/>
    <w:rsid w:val="005E7F3E"/>
    <w:rsid w:val="005F013C"/>
    <w:rsid w:val="005F068D"/>
    <w:rsid w:val="005F08E6"/>
    <w:rsid w:val="005F0BFB"/>
    <w:rsid w:val="005F1799"/>
    <w:rsid w:val="005F17AF"/>
    <w:rsid w:val="005F1ED1"/>
    <w:rsid w:val="005F1F3A"/>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647"/>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BF9"/>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2DA"/>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658"/>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210"/>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AFC"/>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1D6B"/>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0A2"/>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122"/>
    <w:rsid w:val="0092125E"/>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10A"/>
    <w:rsid w:val="009672C6"/>
    <w:rsid w:val="00967A1B"/>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25"/>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615"/>
    <w:rsid w:val="00B03C1D"/>
    <w:rsid w:val="00B0446D"/>
    <w:rsid w:val="00B04B4F"/>
    <w:rsid w:val="00B051EA"/>
    <w:rsid w:val="00B07097"/>
    <w:rsid w:val="00B07436"/>
    <w:rsid w:val="00B074D2"/>
    <w:rsid w:val="00B074E0"/>
    <w:rsid w:val="00B0782A"/>
    <w:rsid w:val="00B07968"/>
    <w:rsid w:val="00B07F6F"/>
    <w:rsid w:val="00B10563"/>
    <w:rsid w:val="00B105CB"/>
    <w:rsid w:val="00B108B6"/>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C8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39C"/>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2E5"/>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CBF"/>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4E58"/>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4E2"/>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6F9"/>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46"/>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58D"/>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E9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64D6"/>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574"/>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8C"/>
    <w:rsid w:val="00E05EAE"/>
    <w:rsid w:val="00E05F95"/>
    <w:rsid w:val="00E066A5"/>
    <w:rsid w:val="00E06AC8"/>
    <w:rsid w:val="00E07D74"/>
    <w:rsid w:val="00E10A4E"/>
    <w:rsid w:val="00E10E43"/>
    <w:rsid w:val="00E11027"/>
    <w:rsid w:val="00E11653"/>
    <w:rsid w:val="00E11C2C"/>
    <w:rsid w:val="00E11DA2"/>
    <w:rsid w:val="00E121D8"/>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9F"/>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42F"/>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1E81"/>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1F5"/>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2C3"/>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0CC"/>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12793</Words>
  <Characters>72925</Characters>
  <Application>Microsoft Office Word</Application>
  <DocSecurity>8</DocSecurity>
  <Lines>607</Lines>
  <Paragraphs>171</Paragraphs>
  <ScaleCrop>false</ScaleCrop>
  <Company/>
  <LinksUpToDate>false</LinksUpToDate>
  <CharactersWithSpaces>85547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2022-09-14T16:44:00Z</dcterms:created>
  <dcterms:modified xsi:type="dcterms:W3CDTF">2022-09-14T16:44:00Z</dcterms:modified>
</cp:coreProperties>
</file>